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76E" w:rsidRPr="000572AB" w:rsidRDefault="00D8476E" w:rsidP="00D542E2">
      <w:pPr>
        <w:spacing w:after="0" w:line="240" w:lineRule="auto"/>
        <w:ind w:firstLine="709"/>
        <w:contextualSpacing/>
        <w:jc w:val="center"/>
        <w:rPr>
          <w:rFonts w:ascii="Times New Roman" w:hAnsi="Times New Roman"/>
          <w:b/>
          <w:sz w:val="20"/>
          <w:szCs w:val="20"/>
        </w:rPr>
      </w:pPr>
      <w:r w:rsidRPr="000572AB">
        <w:rPr>
          <w:rFonts w:ascii="Times New Roman" w:hAnsi="Times New Roman"/>
          <w:b/>
          <w:sz w:val="20"/>
          <w:szCs w:val="20"/>
        </w:rPr>
        <w:t>ПРИМІТКИ ДО РІЧНОЇ ФІНАНСОВОЇ ЗВІТНОСТІ</w:t>
      </w:r>
    </w:p>
    <w:p w:rsidR="00D8476E" w:rsidRPr="000572AB" w:rsidRDefault="00DB634C" w:rsidP="00D542E2">
      <w:pPr>
        <w:spacing w:after="0" w:line="240" w:lineRule="auto"/>
        <w:ind w:firstLine="709"/>
        <w:contextualSpacing/>
        <w:jc w:val="center"/>
        <w:rPr>
          <w:rFonts w:ascii="Times New Roman" w:hAnsi="Times New Roman"/>
          <w:b/>
          <w:sz w:val="20"/>
          <w:szCs w:val="20"/>
        </w:rPr>
      </w:pPr>
      <w:r w:rsidRPr="000572AB">
        <w:rPr>
          <w:rFonts w:ascii="Times New Roman" w:hAnsi="Times New Roman"/>
          <w:b/>
          <w:sz w:val="20"/>
          <w:szCs w:val="20"/>
        </w:rPr>
        <w:t>СТАНОМ НА 31.12.201</w:t>
      </w:r>
      <w:r w:rsidR="000C7BBE" w:rsidRPr="000572AB">
        <w:rPr>
          <w:rFonts w:ascii="Times New Roman" w:hAnsi="Times New Roman"/>
          <w:b/>
          <w:sz w:val="20"/>
          <w:szCs w:val="20"/>
        </w:rPr>
        <w:t>7</w:t>
      </w:r>
      <w:r w:rsidR="00D8476E" w:rsidRPr="000572AB">
        <w:rPr>
          <w:rFonts w:ascii="Times New Roman" w:hAnsi="Times New Roman"/>
          <w:b/>
          <w:sz w:val="20"/>
          <w:szCs w:val="20"/>
        </w:rPr>
        <w:t xml:space="preserve"> РОКУ</w:t>
      </w:r>
    </w:p>
    <w:p w:rsidR="007B1007" w:rsidRPr="000572AB" w:rsidRDefault="00F13FCA" w:rsidP="00D542E2">
      <w:pPr>
        <w:spacing w:after="0" w:line="240" w:lineRule="auto"/>
        <w:ind w:firstLine="709"/>
        <w:contextualSpacing/>
        <w:jc w:val="center"/>
        <w:rPr>
          <w:rFonts w:ascii="Times New Roman" w:hAnsi="Times New Roman"/>
          <w:b/>
          <w:sz w:val="20"/>
          <w:szCs w:val="20"/>
        </w:rPr>
      </w:pPr>
      <w:r w:rsidRPr="000572AB">
        <w:rPr>
          <w:rFonts w:ascii="Times New Roman" w:hAnsi="Times New Roman"/>
          <w:b/>
          <w:sz w:val="20"/>
          <w:szCs w:val="20"/>
        </w:rPr>
        <w:t>ТОВАРИСТВА</w:t>
      </w:r>
      <w:r w:rsidR="00732473" w:rsidRPr="000572AB">
        <w:rPr>
          <w:rFonts w:ascii="Times New Roman" w:hAnsi="Times New Roman"/>
          <w:b/>
          <w:sz w:val="20"/>
          <w:szCs w:val="20"/>
        </w:rPr>
        <w:t xml:space="preserve"> З ОБМЕЖЕНОЮ ВІДПОВІДАЛЬНІСТЮ</w:t>
      </w:r>
    </w:p>
    <w:p w:rsidR="00816165" w:rsidRPr="000572AB" w:rsidRDefault="00816165" w:rsidP="00D542E2">
      <w:pPr>
        <w:spacing w:line="240" w:lineRule="auto"/>
        <w:jc w:val="center"/>
        <w:rPr>
          <w:rFonts w:ascii="Times New Roman" w:hAnsi="Times New Roman"/>
          <w:b/>
          <w:sz w:val="20"/>
          <w:szCs w:val="20"/>
        </w:rPr>
      </w:pPr>
      <w:r w:rsidRPr="000572AB">
        <w:rPr>
          <w:rFonts w:ascii="Times New Roman" w:hAnsi="Times New Roman"/>
          <w:b/>
          <w:bCs/>
          <w:sz w:val="20"/>
          <w:szCs w:val="20"/>
          <w:lang w:eastAsia="ru-RU"/>
        </w:rPr>
        <w:t>«КРЕДО-СТОЛИЦЯ»</w:t>
      </w:r>
      <w:r w:rsidR="007E1EB9" w:rsidRPr="000572AB">
        <w:rPr>
          <w:rFonts w:ascii="Times New Roman" w:hAnsi="Times New Roman"/>
          <w:b/>
          <w:bCs/>
          <w:sz w:val="20"/>
          <w:szCs w:val="20"/>
          <w:lang w:eastAsia="ru-RU"/>
        </w:rPr>
        <w:t xml:space="preserve"> </w:t>
      </w:r>
      <w:r w:rsidRPr="000572AB">
        <w:rPr>
          <w:rFonts w:ascii="Times New Roman" w:hAnsi="Times New Roman"/>
          <w:b/>
          <w:sz w:val="20"/>
          <w:szCs w:val="20"/>
        </w:rPr>
        <w:t>(код ЄДРПОУ –</w:t>
      </w:r>
      <w:r w:rsidRPr="000572AB">
        <w:rPr>
          <w:rFonts w:ascii="Times New Roman" w:hAnsi="Times New Roman"/>
          <w:b/>
          <w:sz w:val="20"/>
          <w:szCs w:val="20"/>
          <w:lang w:val="ru-RU"/>
        </w:rPr>
        <w:t>37956790</w:t>
      </w:r>
      <w:r w:rsidRPr="000572AB">
        <w:rPr>
          <w:rFonts w:ascii="Times New Roman" w:hAnsi="Times New Roman"/>
          <w:b/>
          <w:sz w:val="20"/>
          <w:szCs w:val="20"/>
        </w:rPr>
        <w:t>)</w:t>
      </w:r>
    </w:p>
    <w:p w:rsidR="00DB634C" w:rsidRPr="000572AB" w:rsidRDefault="00B853E9" w:rsidP="00D542E2">
      <w:pPr>
        <w:tabs>
          <w:tab w:val="left" w:pos="7995"/>
        </w:tabs>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ab/>
      </w:r>
    </w:p>
    <w:p w:rsidR="009450A0" w:rsidRPr="000572AB" w:rsidRDefault="00FE1C8C" w:rsidP="00D542E2">
      <w:pPr>
        <w:pStyle w:val="a"/>
        <w:rPr>
          <w:sz w:val="20"/>
          <w:szCs w:val="20"/>
        </w:rPr>
      </w:pPr>
      <w:r w:rsidRPr="000572AB">
        <w:rPr>
          <w:sz w:val="20"/>
          <w:szCs w:val="20"/>
        </w:rPr>
        <w:t>Інформація про Товариство</w:t>
      </w:r>
      <w:r w:rsidR="009450A0" w:rsidRPr="000572AB">
        <w:rPr>
          <w:sz w:val="20"/>
          <w:szCs w:val="20"/>
        </w:rPr>
        <w:t xml:space="preserve"> та основа підгото</w:t>
      </w:r>
      <w:r w:rsidR="00576B30" w:rsidRPr="000572AB">
        <w:rPr>
          <w:sz w:val="20"/>
          <w:szCs w:val="20"/>
        </w:rPr>
        <w:t>вки фінансової звітності за 201</w:t>
      </w:r>
      <w:r w:rsidR="00796C5A" w:rsidRPr="000572AB">
        <w:rPr>
          <w:sz w:val="20"/>
          <w:szCs w:val="20"/>
        </w:rPr>
        <w:t>7</w:t>
      </w:r>
      <w:r w:rsidR="009450A0" w:rsidRPr="000572AB">
        <w:rPr>
          <w:sz w:val="20"/>
          <w:szCs w:val="20"/>
        </w:rPr>
        <w:t xml:space="preserve"> рік.</w:t>
      </w:r>
    </w:p>
    <w:p w:rsidR="009450A0" w:rsidRPr="000572AB" w:rsidRDefault="009450A0" w:rsidP="00D542E2">
      <w:pPr>
        <w:pStyle w:val="ad"/>
        <w:ind w:firstLine="709"/>
        <w:rPr>
          <w:sz w:val="20"/>
        </w:rPr>
      </w:pPr>
      <w:r w:rsidRPr="000572AB">
        <w:rPr>
          <w:sz w:val="20"/>
        </w:rPr>
        <w:t>У цих пояснювальних примітках наводиться додаткова інформація, розкриття якої вимагається Законом України «Про бухгалтерський облік та фінансову звітність в Україні» № 996-XIV від 16.07.1999 року, із змінами і доповненнями, і Міжнародними стандартами фінансової звітності, і яка не міститься у формах фінансової звітності: Баланс (Звіт про фінан</w:t>
      </w:r>
      <w:r w:rsidR="00576B30" w:rsidRPr="000572AB">
        <w:rPr>
          <w:sz w:val="20"/>
        </w:rPr>
        <w:t>совий стан) станом на 31.12.201</w:t>
      </w:r>
      <w:r w:rsidR="00796C5A" w:rsidRPr="000572AB">
        <w:rPr>
          <w:sz w:val="20"/>
        </w:rPr>
        <w:t>7</w:t>
      </w:r>
      <w:r w:rsidRPr="000572AB">
        <w:rPr>
          <w:sz w:val="20"/>
        </w:rPr>
        <w:t xml:space="preserve"> р., Звіт про фінансові результати (</w:t>
      </w:r>
      <w:r w:rsidR="00576B30" w:rsidRPr="000572AB">
        <w:rPr>
          <w:sz w:val="20"/>
        </w:rPr>
        <w:t>Звіт про сукупний дохід) за 201</w:t>
      </w:r>
      <w:r w:rsidR="00796C5A" w:rsidRPr="000572AB">
        <w:rPr>
          <w:sz w:val="20"/>
        </w:rPr>
        <w:t>7</w:t>
      </w:r>
      <w:r w:rsidRPr="000572AB">
        <w:rPr>
          <w:sz w:val="20"/>
        </w:rPr>
        <w:t xml:space="preserve"> р., Звіт про рух грошових ко</w:t>
      </w:r>
      <w:r w:rsidR="00576B30" w:rsidRPr="000572AB">
        <w:rPr>
          <w:sz w:val="20"/>
        </w:rPr>
        <w:t>штів (за прямим методом) за 201</w:t>
      </w:r>
      <w:r w:rsidR="00796C5A" w:rsidRPr="000572AB">
        <w:rPr>
          <w:sz w:val="20"/>
        </w:rPr>
        <w:t>7</w:t>
      </w:r>
      <w:r w:rsidRPr="000572AB">
        <w:rPr>
          <w:sz w:val="20"/>
        </w:rPr>
        <w:t xml:space="preserve"> р., </w:t>
      </w:r>
      <w:r w:rsidR="00576B30" w:rsidRPr="000572AB">
        <w:rPr>
          <w:sz w:val="20"/>
        </w:rPr>
        <w:t>Звіт про власний капітал за 201</w:t>
      </w:r>
      <w:r w:rsidR="00796C5A" w:rsidRPr="000572AB">
        <w:rPr>
          <w:sz w:val="20"/>
        </w:rPr>
        <w:t>7</w:t>
      </w:r>
      <w:r w:rsidRPr="000572AB">
        <w:rPr>
          <w:sz w:val="20"/>
        </w:rPr>
        <w:t xml:space="preserve"> р.</w:t>
      </w:r>
    </w:p>
    <w:p w:rsidR="009450A0" w:rsidRPr="000572AB" w:rsidRDefault="009450A0" w:rsidP="00D542E2">
      <w:pPr>
        <w:pStyle w:val="a"/>
        <w:numPr>
          <w:ilvl w:val="0"/>
          <w:numId w:val="0"/>
        </w:numPr>
        <w:ind w:left="720"/>
        <w:rPr>
          <w:sz w:val="20"/>
          <w:szCs w:val="20"/>
        </w:rPr>
      </w:pPr>
    </w:p>
    <w:p w:rsidR="00816165" w:rsidRPr="000572AB" w:rsidRDefault="00816165" w:rsidP="00D542E2">
      <w:pPr>
        <w:widowControl w:val="0"/>
        <w:spacing w:after="120" w:line="240" w:lineRule="auto"/>
        <w:ind w:firstLine="709"/>
        <w:contextualSpacing/>
        <w:jc w:val="both"/>
        <w:rPr>
          <w:rFonts w:ascii="Times New Roman" w:hAnsi="Times New Roman"/>
          <w:sz w:val="20"/>
          <w:szCs w:val="20"/>
          <w:lang w:eastAsia="uk-UA"/>
        </w:rPr>
      </w:pPr>
      <w:r w:rsidRPr="000572AB">
        <w:rPr>
          <w:rFonts w:ascii="Times New Roman" w:hAnsi="Times New Roman"/>
          <w:sz w:val="20"/>
          <w:szCs w:val="20"/>
          <w:lang w:eastAsia="uk-UA"/>
        </w:rPr>
        <w:t>ТОВАРИСТВО З ОБМЕЖЕНОЮ ВІДПОВІДАЛЬНІСТЮ «</w:t>
      </w:r>
      <w:r w:rsidRPr="000572AB">
        <w:rPr>
          <w:rFonts w:ascii="Times New Roman" w:hAnsi="Times New Roman"/>
          <w:sz w:val="20"/>
          <w:szCs w:val="20"/>
        </w:rPr>
        <w:t>КРЕДО-СТОЛИЦЯ</w:t>
      </w:r>
      <w:r w:rsidRPr="000572AB">
        <w:rPr>
          <w:rFonts w:ascii="Times New Roman" w:hAnsi="Times New Roman"/>
          <w:sz w:val="20"/>
          <w:szCs w:val="20"/>
          <w:lang w:eastAsia="uk-UA"/>
        </w:rPr>
        <w:t xml:space="preserve">» (надалі- Товариство) зареєстровано 14.11.2011р. відділом державної реєстрації юридичних осіб та фізичних осіб – підприємців Печерського району реєстраційної службі Головного управління юстиції у м. Києві №10701020000045052, </w:t>
      </w:r>
      <w:r w:rsidRPr="000572AB">
        <w:rPr>
          <w:rFonts w:ascii="Times New Roman" w:hAnsi="Times New Roman"/>
          <w:sz w:val="20"/>
          <w:szCs w:val="20"/>
        </w:rPr>
        <w:t>номер запису про включення відомостей про юридичну особу до Єдиного державного реєстру</w:t>
      </w:r>
      <w:r w:rsidRPr="000572AB">
        <w:rPr>
          <w:rFonts w:ascii="Times New Roman" w:hAnsi="Times New Roman"/>
          <w:sz w:val="20"/>
          <w:szCs w:val="20"/>
          <w:lang w:eastAsia="uk-UA"/>
        </w:rPr>
        <w:t xml:space="preserve"> підприємств та організацій України: 37956390</w:t>
      </w:r>
      <w:r w:rsidR="00293E65" w:rsidRPr="000572AB">
        <w:rPr>
          <w:rFonts w:ascii="Times New Roman" w:hAnsi="Times New Roman"/>
          <w:sz w:val="20"/>
          <w:szCs w:val="20"/>
          <w:lang w:eastAsia="uk-UA"/>
        </w:rPr>
        <w:t xml:space="preserve">, </w:t>
      </w:r>
      <w:r w:rsidR="00293E65" w:rsidRPr="000572AB">
        <w:rPr>
          <w:rFonts w:ascii="Times New Roman" w:hAnsi="Times New Roman"/>
          <w:sz w:val="20"/>
          <w:lang w:eastAsia="uk-UA"/>
        </w:rPr>
        <w:t>Свідоцтво про реєстрацію фінансової установи ФК №353 від 15.11.2012р.,  реєстраційний номер 13102773.</w:t>
      </w:r>
    </w:p>
    <w:p w:rsidR="00816165" w:rsidRPr="000572AB" w:rsidRDefault="00537380"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Місцезнаходження Товариства:</w:t>
      </w:r>
      <w:r w:rsidR="00816165" w:rsidRPr="000572AB">
        <w:rPr>
          <w:rFonts w:ascii="Times New Roman" w:hAnsi="Times New Roman"/>
          <w:sz w:val="20"/>
          <w:szCs w:val="20"/>
          <w:lang w:val="ru-RU"/>
        </w:rPr>
        <w:t xml:space="preserve"> м. Ки</w:t>
      </w:r>
      <w:r w:rsidR="00816165" w:rsidRPr="000572AB">
        <w:rPr>
          <w:rFonts w:ascii="Times New Roman" w:hAnsi="Times New Roman"/>
          <w:sz w:val="20"/>
          <w:szCs w:val="20"/>
        </w:rPr>
        <w:t>їв, вулиця Чигоріна, буд.12.</w:t>
      </w:r>
    </w:p>
    <w:p w:rsidR="00537380" w:rsidRPr="000572AB" w:rsidRDefault="00537380"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Основними цілями Т</w:t>
      </w:r>
      <w:r w:rsidR="00816165" w:rsidRPr="000572AB">
        <w:rPr>
          <w:rFonts w:ascii="Times New Roman" w:hAnsi="Times New Roman"/>
          <w:sz w:val="20"/>
          <w:szCs w:val="20"/>
        </w:rPr>
        <w:t xml:space="preserve">овариства </w:t>
      </w:r>
      <w:r w:rsidRPr="000572AB">
        <w:rPr>
          <w:rFonts w:ascii="Times New Roman" w:hAnsi="Times New Roman"/>
          <w:sz w:val="20"/>
          <w:szCs w:val="20"/>
        </w:rPr>
        <w:t>є отримання прибутку від надання фінансових послуг.</w:t>
      </w:r>
    </w:p>
    <w:p w:rsidR="005B3BFF" w:rsidRPr="000572AB" w:rsidRDefault="005B3BFF" w:rsidP="00D542E2">
      <w:pPr>
        <w:pStyle w:val="ad"/>
        <w:ind w:firstLine="709"/>
        <w:contextualSpacing/>
        <w:rPr>
          <w:sz w:val="20"/>
          <w:lang w:eastAsia="uk-UA"/>
        </w:rPr>
      </w:pPr>
      <w:r w:rsidRPr="000572AB">
        <w:rPr>
          <w:sz w:val="20"/>
          <w:lang w:eastAsia="uk-UA"/>
        </w:rPr>
        <w:t xml:space="preserve">Предметом діяльності Товариства </w:t>
      </w:r>
      <w:r w:rsidR="000652A7" w:rsidRPr="000572AB">
        <w:rPr>
          <w:sz w:val="20"/>
          <w:lang w:eastAsia="uk-UA"/>
        </w:rPr>
        <w:t xml:space="preserve">відповідно до </w:t>
      </w:r>
      <w:r w:rsidR="00816165" w:rsidRPr="000572AB">
        <w:rPr>
          <w:sz w:val="20"/>
          <w:lang w:eastAsia="uk-UA"/>
        </w:rPr>
        <w:t>С</w:t>
      </w:r>
      <w:r w:rsidR="000652A7" w:rsidRPr="000572AB">
        <w:rPr>
          <w:sz w:val="20"/>
          <w:lang w:eastAsia="uk-UA"/>
        </w:rPr>
        <w:t xml:space="preserve">татуту </w:t>
      </w:r>
      <w:r w:rsidRPr="000572AB">
        <w:rPr>
          <w:sz w:val="20"/>
          <w:lang w:eastAsia="uk-UA"/>
        </w:rPr>
        <w:t>є:</w:t>
      </w:r>
    </w:p>
    <w:p w:rsidR="0098374E" w:rsidRPr="000572AB" w:rsidRDefault="00A13C6A" w:rsidP="00D542E2">
      <w:pPr>
        <w:spacing w:after="0" w:line="240" w:lineRule="auto"/>
        <w:ind w:firstLine="709"/>
        <w:jc w:val="both"/>
        <w:rPr>
          <w:rFonts w:ascii="Times New Roman" w:hAnsi="Times New Roman"/>
          <w:sz w:val="20"/>
          <w:szCs w:val="20"/>
        </w:rPr>
      </w:pPr>
      <w:r w:rsidRPr="000572AB">
        <w:rPr>
          <w:rFonts w:ascii="Times New Roman" w:hAnsi="Times New Roman"/>
          <w:sz w:val="20"/>
          <w:szCs w:val="20"/>
        </w:rPr>
        <w:t>- факторинг;</w:t>
      </w:r>
    </w:p>
    <w:p w:rsidR="00A13C6A" w:rsidRPr="000572AB" w:rsidRDefault="00A13C6A" w:rsidP="00D542E2">
      <w:pPr>
        <w:spacing w:after="0" w:line="240" w:lineRule="auto"/>
        <w:ind w:firstLine="709"/>
        <w:jc w:val="both"/>
        <w:rPr>
          <w:rFonts w:ascii="Times New Roman" w:hAnsi="Times New Roman"/>
          <w:sz w:val="20"/>
          <w:szCs w:val="20"/>
        </w:rPr>
      </w:pPr>
      <w:r w:rsidRPr="000572AB">
        <w:rPr>
          <w:rFonts w:ascii="Times New Roman" w:hAnsi="Times New Roman"/>
          <w:sz w:val="20"/>
          <w:szCs w:val="20"/>
        </w:rPr>
        <w:t>- фінансовий лізинг;</w:t>
      </w:r>
    </w:p>
    <w:p w:rsidR="006F5E28" w:rsidRPr="000572AB" w:rsidRDefault="00A13C6A" w:rsidP="00D542E2">
      <w:pPr>
        <w:spacing w:after="0" w:line="240" w:lineRule="auto"/>
        <w:ind w:firstLine="709"/>
        <w:jc w:val="both"/>
        <w:rPr>
          <w:rFonts w:ascii="Times New Roman" w:hAnsi="Times New Roman"/>
          <w:sz w:val="20"/>
          <w:szCs w:val="20"/>
        </w:rPr>
      </w:pPr>
      <w:r w:rsidRPr="000572AB">
        <w:rPr>
          <w:rFonts w:ascii="Times New Roman" w:hAnsi="Times New Roman"/>
          <w:sz w:val="20"/>
          <w:szCs w:val="20"/>
        </w:rPr>
        <w:t>- надання гарантій та поручительств</w:t>
      </w:r>
      <w:r w:rsidR="006F5E28" w:rsidRPr="000572AB">
        <w:rPr>
          <w:rFonts w:ascii="Times New Roman" w:hAnsi="Times New Roman"/>
          <w:sz w:val="20"/>
          <w:szCs w:val="20"/>
        </w:rPr>
        <w:t>;</w:t>
      </w:r>
    </w:p>
    <w:p w:rsidR="00A13C6A" w:rsidRPr="000572AB" w:rsidRDefault="006F5E28" w:rsidP="00D542E2">
      <w:pPr>
        <w:spacing w:after="0" w:line="240" w:lineRule="auto"/>
        <w:ind w:firstLine="709"/>
        <w:jc w:val="both"/>
        <w:rPr>
          <w:rFonts w:ascii="Times New Roman" w:hAnsi="Times New Roman"/>
          <w:sz w:val="20"/>
          <w:szCs w:val="20"/>
        </w:rPr>
      </w:pPr>
      <w:r w:rsidRPr="000572AB">
        <w:rPr>
          <w:rFonts w:ascii="Times New Roman" w:hAnsi="Times New Roman"/>
          <w:sz w:val="20"/>
          <w:szCs w:val="20"/>
        </w:rPr>
        <w:t>- надання коштів у позику, в тому числі і на умовах фінансового кредиту</w:t>
      </w:r>
      <w:r w:rsidR="00A13C6A" w:rsidRPr="000572AB">
        <w:rPr>
          <w:rFonts w:ascii="Times New Roman" w:hAnsi="Times New Roman"/>
          <w:sz w:val="20"/>
          <w:szCs w:val="20"/>
        </w:rPr>
        <w:t>.</w:t>
      </w:r>
    </w:p>
    <w:p w:rsidR="00816165" w:rsidRPr="000572AB" w:rsidRDefault="00816165" w:rsidP="00D542E2">
      <w:pPr>
        <w:pStyle w:val="ad"/>
        <w:ind w:firstLine="709"/>
        <w:contextualSpacing/>
        <w:rPr>
          <w:sz w:val="20"/>
          <w:lang w:eastAsia="uk-UA"/>
        </w:rPr>
      </w:pPr>
    </w:p>
    <w:p w:rsidR="00C72F6F" w:rsidRPr="000572AB" w:rsidRDefault="00F13FCA" w:rsidP="00D542E2">
      <w:pPr>
        <w:pStyle w:val="ad"/>
        <w:ind w:firstLine="709"/>
        <w:contextualSpacing/>
        <w:rPr>
          <w:sz w:val="20"/>
          <w:lang w:eastAsia="uk-UA"/>
        </w:rPr>
      </w:pPr>
      <w:r w:rsidRPr="000572AB">
        <w:rPr>
          <w:sz w:val="20"/>
          <w:lang w:eastAsia="uk-UA"/>
        </w:rPr>
        <w:t>Станом на 31.12.2017 року Товариство</w:t>
      </w:r>
      <w:r w:rsidR="00D6553A" w:rsidRPr="000572AB">
        <w:rPr>
          <w:sz w:val="20"/>
          <w:lang w:eastAsia="uk-UA"/>
        </w:rPr>
        <w:t xml:space="preserve"> </w:t>
      </w:r>
      <w:r w:rsidR="00816165" w:rsidRPr="000572AB">
        <w:rPr>
          <w:sz w:val="20"/>
          <w:lang w:eastAsia="uk-UA"/>
        </w:rPr>
        <w:t>має</w:t>
      </w:r>
      <w:r w:rsidR="00D6553A" w:rsidRPr="000572AB">
        <w:rPr>
          <w:sz w:val="20"/>
          <w:lang w:eastAsia="uk-UA"/>
        </w:rPr>
        <w:t xml:space="preserve"> </w:t>
      </w:r>
      <w:r w:rsidR="00D31FCB" w:rsidRPr="000572AB">
        <w:rPr>
          <w:sz w:val="20"/>
          <w:lang w:eastAsia="uk-UA"/>
        </w:rPr>
        <w:t>наступні ліц</w:t>
      </w:r>
      <w:r w:rsidR="00816165" w:rsidRPr="000572AB">
        <w:rPr>
          <w:sz w:val="20"/>
          <w:lang w:eastAsia="uk-UA"/>
        </w:rPr>
        <w:t>ензі</w:t>
      </w:r>
      <w:r w:rsidR="00D31FCB" w:rsidRPr="000572AB">
        <w:rPr>
          <w:sz w:val="20"/>
          <w:lang w:eastAsia="uk-UA"/>
        </w:rPr>
        <w:t xml:space="preserve">ї, надані згідно </w:t>
      </w:r>
      <w:r w:rsidR="00D6553A" w:rsidRPr="000572AB">
        <w:rPr>
          <w:sz w:val="20"/>
          <w:lang w:eastAsia="uk-UA"/>
        </w:rPr>
        <w:t>Розпоряджен</w:t>
      </w:r>
      <w:r w:rsidR="00D31FCB" w:rsidRPr="000572AB">
        <w:rPr>
          <w:sz w:val="20"/>
          <w:lang w:eastAsia="uk-UA"/>
        </w:rPr>
        <w:t>ь</w:t>
      </w:r>
      <w:r w:rsidR="00293E65" w:rsidRPr="000572AB">
        <w:rPr>
          <w:sz w:val="20"/>
          <w:lang w:eastAsia="uk-UA"/>
        </w:rPr>
        <w:t xml:space="preserve"> </w:t>
      </w:r>
      <w:r w:rsidR="00D6553A" w:rsidRPr="000572AB">
        <w:rPr>
          <w:sz w:val="20"/>
          <w:lang w:eastAsia="uk-UA"/>
        </w:rPr>
        <w:t xml:space="preserve"> Національної комісії, що здійснює д</w:t>
      </w:r>
      <w:r w:rsidR="00C72F6F" w:rsidRPr="000572AB">
        <w:rPr>
          <w:sz w:val="20"/>
          <w:lang w:eastAsia="uk-UA"/>
        </w:rPr>
        <w:t>е</w:t>
      </w:r>
      <w:r w:rsidR="00D6553A" w:rsidRPr="000572AB">
        <w:rPr>
          <w:sz w:val="20"/>
          <w:lang w:eastAsia="uk-UA"/>
        </w:rPr>
        <w:t>ржавне регулювання у сфері ринків фінансових послуг</w:t>
      </w:r>
      <w:r w:rsidR="00C72F6F" w:rsidRPr="000572AB">
        <w:rPr>
          <w:sz w:val="20"/>
          <w:lang w:eastAsia="uk-UA"/>
        </w:rPr>
        <w:t xml:space="preserve"> </w:t>
      </w:r>
      <w:r w:rsidR="00D31FCB" w:rsidRPr="000572AB">
        <w:rPr>
          <w:sz w:val="20"/>
          <w:lang w:eastAsia="uk-UA"/>
        </w:rPr>
        <w:t xml:space="preserve">за </w:t>
      </w:r>
      <w:r w:rsidR="00293E65" w:rsidRPr="000572AB">
        <w:rPr>
          <w:sz w:val="20"/>
          <w:lang w:eastAsia="uk-UA"/>
        </w:rPr>
        <w:t>№</w:t>
      </w:r>
      <w:r w:rsidR="00C72F6F" w:rsidRPr="000572AB">
        <w:rPr>
          <w:sz w:val="20"/>
          <w:lang w:eastAsia="uk-UA"/>
        </w:rPr>
        <w:t xml:space="preserve">№ </w:t>
      </w:r>
      <w:r w:rsidR="00293E65" w:rsidRPr="000572AB">
        <w:rPr>
          <w:sz w:val="20"/>
          <w:lang w:eastAsia="uk-UA"/>
        </w:rPr>
        <w:t xml:space="preserve">2091, 2092, 2093, 2094 </w:t>
      </w:r>
      <w:r w:rsidR="00C72F6F" w:rsidRPr="000572AB">
        <w:rPr>
          <w:sz w:val="20"/>
          <w:lang w:eastAsia="uk-UA"/>
        </w:rPr>
        <w:t xml:space="preserve"> від </w:t>
      </w:r>
      <w:r w:rsidR="00293E65" w:rsidRPr="000572AB">
        <w:rPr>
          <w:sz w:val="20"/>
          <w:lang w:eastAsia="uk-UA"/>
        </w:rPr>
        <w:t>30</w:t>
      </w:r>
      <w:r w:rsidR="00C72F6F" w:rsidRPr="000572AB">
        <w:rPr>
          <w:sz w:val="20"/>
          <w:lang w:eastAsia="uk-UA"/>
        </w:rPr>
        <w:t>.</w:t>
      </w:r>
      <w:r w:rsidR="00293E65" w:rsidRPr="000572AB">
        <w:rPr>
          <w:sz w:val="20"/>
          <w:lang w:eastAsia="uk-UA"/>
        </w:rPr>
        <w:t>05</w:t>
      </w:r>
      <w:r w:rsidR="00C72F6F" w:rsidRPr="000572AB">
        <w:rPr>
          <w:sz w:val="20"/>
          <w:lang w:eastAsia="uk-UA"/>
        </w:rPr>
        <w:t>.2001</w:t>
      </w:r>
      <w:r w:rsidR="00D31FCB" w:rsidRPr="000572AB">
        <w:rPr>
          <w:sz w:val="20"/>
          <w:lang w:eastAsia="uk-UA"/>
        </w:rPr>
        <w:t>7</w:t>
      </w:r>
      <w:r w:rsidR="00C72F6F" w:rsidRPr="000572AB">
        <w:rPr>
          <w:sz w:val="20"/>
          <w:lang w:eastAsia="uk-UA"/>
        </w:rPr>
        <w:t>р.:</w:t>
      </w:r>
    </w:p>
    <w:p w:rsidR="00C72F6F" w:rsidRPr="000572AB" w:rsidRDefault="00D6553A" w:rsidP="00D542E2">
      <w:pPr>
        <w:pStyle w:val="ad"/>
        <w:numPr>
          <w:ilvl w:val="0"/>
          <w:numId w:val="31"/>
        </w:numPr>
        <w:contextualSpacing/>
        <w:rPr>
          <w:sz w:val="20"/>
          <w:lang w:val="ru-RU" w:eastAsia="uk-UA"/>
        </w:rPr>
      </w:pPr>
      <w:r w:rsidRPr="000572AB">
        <w:rPr>
          <w:sz w:val="20"/>
          <w:lang w:val="ru-RU" w:eastAsia="uk-UA"/>
        </w:rPr>
        <w:t xml:space="preserve">надання порук та гарантій, </w:t>
      </w:r>
    </w:p>
    <w:p w:rsidR="00C72F6F" w:rsidRPr="000572AB" w:rsidRDefault="00D6553A" w:rsidP="00D542E2">
      <w:pPr>
        <w:pStyle w:val="ad"/>
        <w:numPr>
          <w:ilvl w:val="0"/>
          <w:numId w:val="31"/>
        </w:numPr>
        <w:contextualSpacing/>
        <w:rPr>
          <w:sz w:val="20"/>
          <w:lang w:val="ru-RU" w:eastAsia="uk-UA"/>
        </w:rPr>
      </w:pPr>
      <w:r w:rsidRPr="000572AB">
        <w:rPr>
          <w:sz w:val="20"/>
          <w:lang w:val="ru-RU" w:eastAsia="uk-UA"/>
        </w:rPr>
        <w:t>надання позик, в тому числі на умовах фінансового кредиту,</w:t>
      </w:r>
    </w:p>
    <w:p w:rsidR="00C72F6F" w:rsidRPr="000572AB" w:rsidRDefault="00D6553A" w:rsidP="00D542E2">
      <w:pPr>
        <w:pStyle w:val="ad"/>
        <w:numPr>
          <w:ilvl w:val="0"/>
          <w:numId w:val="31"/>
        </w:numPr>
        <w:contextualSpacing/>
        <w:rPr>
          <w:sz w:val="20"/>
          <w:lang w:val="ru-RU" w:eastAsia="uk-UA"/>
        </w:rPr>
      </w:pPr>
      <w:r w:rsidRPr="000572AB">
        <w:rPr>
          <w:sz w:val="20"/>
          <w:lang w:val="ru-RU" w:eastAsia="uk-UA"/>
        </w:rPr>
        <w:t>послуги з фінансовго лізингу</w:t>
      </w:r>
      <w:r w:rsidR="00C72F6F" w:rsidRPr="000572AB">
        <w:rPr>
          <w:sz w:val="20"/>
          <w:lang w:val="ru-RU" w:eastAsia="uk-UA"/>
        </w:rPr>
        <w:t>,</w:t>
      </w:r>
    </w:p>
    <w:p w:rsidR="00293E65" w:rsidRPr="000572AB" w:rsidRDefault="00293E65" w:rsidP="00D542E2">
      <w:pPr>
        <w:pStyle w:val="ad"/>
        <w:numPr>
          <w:ilvl w:val="0"/>
          <w:numId w:val="31"/>
        </w:numPr>
        <w:contextualSpacing/>
        <w:rPr>
          <w:sz w:val="20"/>
          <w:lang w:val="ru-RU" w:eastAsia="uk-UA"/>
        </w:rPr>
      </w:pPr>
      <w:r w:rsidRPr="000572AB">
        <w:rPr>
          <w:sz w:val="20"/>
          <w:lang w:val="ru-RU" w:eastAsia="uk-UA"/>
        </w:rPr>
        <w:t>послуги з фактрингу</w:t>
      </w:r>
      <w:r w:rsidR="00D31FCB" w:rsidRPr="000572AB">
        <w:rPr>
          <w:sz w:val="20"/>
          <w:lang w:val="ru-RU" w:eastAsia="uk-UA"/>
        </w:rPr>
        <w:t>.</w:t>
      </w:r>
    </w:p>
    <w:p w:rsidR="00A005F3" w:rsidRPr="000572AB" w:rsidRDefault="00A005F3" w:rsidP="00D542E2">
      <w:pPr>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32498" w:rsidRPr="000572AB" w:rsidRDefault="00E32498" w:rsidP="00D542E2">
      <w:pPr>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572AB">
        <w:rPr>
          <w:rFonts w:ascii="Times New Roman" w:eastAsia="Times New Roman" w:hAnsi="Times New Roman"/>
          <w:sz w:val="20"/>
          <w:szCs w:val="20"/>
          <w:lang w:eastAsia="ru-RU"/>
        </w:rPr>
        <w:t xml:space="preserve">Кількість працівників станом на 31 грудня 2017 р. складала </w:t>
      </w:r>
      <w:r w:rsidR="00816165" w:rsidRPr="000572AB">
        <w:rPr>
          <w:rFonts w:ascii="Times New Roman" w:eastAsia="Times New Roman" w:hAnsi="Times New Roman"/>
          <w:sz w:val="20"/>
          <w:szCs w:val="20"/>
          <w:lang w:eastAsia="ru-RU"/>
        </w:rPr>
        <w:t>4</w:t>
      </w:r>
      <w:r w:rsidRPr="000572AB">
        <w:rPr>
          <w:rFonts w:ascii="Times New Roman" w:eastAsia="Times New Roman" w:hAnsi="Times New Roman"/>
          <w:sz w:val="20"/>
          <w:szCs w:val="20"/>
          <w:lang w:eastAsia="ru-RU"/>
        </w:rPr>
        <w:t xml:space="preserve"> ос</w:t>
      </w:r>
      <w:r w:rsidR="00816165" w:rsidRPr="000572AB">
        <w:rPr>
          <w:rFonts w:ascii="Times New Roman" w:eastAsia="Times New Roman" w:hAnsi="Times New Roman"/>
          <w:sz w:val="20"/>
          <w:szCs w:val="20"/>
          <w:lang w:eastAsia="ru-RU"/>
        </w:rPr>
        <w:t>оби</w:t>
      </w:r>
      <w:r w:rsidR="00101400" w:rsidRPr="000572AB">
        <w:rPr>
          <w:rFonts w:ascii="Times New Roman" w:eastAsia="Times New Roman" w:hAnsi="Times New Roman"/>
          <w:sz w:val="20"/>
          <w:szCs w:val="20"/>
          <w:lang w:eastAsia="ru-RU"/>
        </w:rPr>
        <w:t xml:space="preserve">, середня кількість за 2017 рік – </w:t>
      </w:r>
      <w:r w:rsidR="00816165" w:rsidRPr="000572AB">
        <w:rPr>
          <w:rFonts w:ascii="Times New Roman" w:eastAsia="Times New Roman" w:hAnsi="Times New Roman"/>
          <w:sz w:val="20"/>
          <w:szCs w:val="20"/>
          <w:lang w:eastAsia="ru-RU"/>
        </w:rPr>
        <w:t>4</w:t>
      </w:r>
      <w:r w:rsidR="00101400" w:rsidRPr="000572AB">
        <w:rPr>
          <w:rFonts w:ascii="Times New Roman" w:eastAsia="Times New Roman" w:hAnsi="Times New Roman"/>
          <w:sz w:val="20"/>
          <w:szCs w:val="20"/>
          <w:lang w:eastAsia="ru-RU"/>
        </w:rPr>
        <w:t xml:space="preserve"> </w:t>
      </w:r>
      <w:r w:rsidR="00816165" w:rsidRPr="000572AB">
        <w:rPr>
          <w:rFonts w:ascii="Times New Roman" w:eastAsia="Times New Roman" w:hAnsi="Times New Roman"/>
          <w:sz w:val="20"/>
          <w:szCs w:val="20"/>
          <w:lang w:eastAsia="ru-RU"/>
        </w:rPr>
        <w:t>особи</w:t>
      </w:r>
      <w:r w:rsidRPr="000572AB">
        <w:rPr>
          <w:rFonts w:ascii="Times New Roman" w:eastAsia="Times New Roman" w:hAnsi="Times New Roman"/>
          <w:sz w:val="20"/>
          <w:szCs w:val="20"/>
          <w:lang w:eastAsia="ru-RU"/>
        </w:rPr>
        <w:t>.</w:t>
      </w:r>
    </w:p>
    <w:p w:rsidR="00FA715B" w:rsidRPr="000572AB" w:rsidRDefault="00FA715B" w:rsidP="00D542E2">
      <w:pPr>
        <w:pStyle w:val="ad"/>
        <w:ind w:firstLine="709"/>
        <w:contextualSpacing/>
        <w:rPr>
          <w:sz w:val="20"/>
          <w:lang w:eastAsia="uk-UA"/>
        </w:rPr>
      </w:pPr>
      <w:r w:rsidRPr="000572AB">
        <w:rPr>
          <w:sz w:val="20"/>
          <w:lang w:eastAsia="uk-UA"/>
        </w:rPr>
        <w:t>Валютою звітності є гривня. Звітність подано в тисячах гривень без десяткових знаків.</w:t>
      </w:r>
      <w:r w:rsidR="0069383F" w:rsidRPr="000572AB">
        <w:rPr>
          <w:sz w:val="20"/>
          <w:lang w:eastAsia="uk-UA"/>
        </w:rPr>
        <w:t xml:space="preserve"> Річна фінансова звітність затверджена Загальними зборами</w:t>
      </w:r>
      <w:r w:rsidR="00431615" w:rsidRPr="000572AB">
        <w:rPr>
          <w:sz w:val="20"/>
          <w:lang w:eastAsia="uk-UA"/>
        </w:rPr>
        <w:t xml:space="preserve"> учасників</w:t>
      </w:r>
      <w:r w:rsidR="0069383F" w:rsidRPr="000572AB">
        <w:rPr>
          <w:sz w:val="20"/>
          <w:lang w:eastAsia="uk-UA"/>
        </w:rPr>
        <w:t xml:space="preserve"> </w:t>
      </w:r>
      <w:r w:rsidR="00431615" w:rsidRPr="000572AB">
        <w:rPr>
          <w:sz w:val="20"/>
          <w:lang w:eastAsia="uk-UA"/>
        </w:rPr>
        <w:t xml:space="preserve"> Товариства Протокол</w:t>
      </w:r>
      <w:r w:rsidR="00816165" w:rsidRPr="000572AB">
        <w:rPr>
          <w:sz w:val="20"/>
          <w:lang w:eastAsia="uk-UA"/>
        </w:rPr>
        <w:t xml:space="preserve">ом </w:t>
      </w:r>
      <w:r w:rsidR="00431615" w:rsidRPr="000572AB">
        <w:rPr>
          <w:sz w:val="20"/>
          <w:lang w:eastAsia="uk-UA"/>
        </w:rPr>
        <w:t xml:space="preserve"> №</w:t>
      </w:r>
      <w:r w:rsidR="007E1EB9" w:rsidRPr="000572AB">
        <w:rPr>
          <w:sz w:val="20"/>
          <w:lang w:val="ru-RU" w:eastAsia="uk-UA"/>
        </w:rPr>
        <w:t>19/02</w:t>
      </w:r>
      <w:r w:rsidR="00515F29" w:rsidRPr="000572AB">
        <w:rPr>
          <w:sz w:val="20"/>
          <w:lang w:val="ru-RU" w:eastAsia="uk-UA"/>
        </w:rPr>
        <w:t xml:space="preserve"> </w:t>
      </w:r>
      <w:r w:rsidR="00431615" w:rsidRPr="000572AB">
        <w:rPr>
          <w:sz w:val="20"/>
          <w:lang w:eastAsia="uk-UA"/>
        </w:rPr>
        <w:t xml:space="preserve">від </w:t>
      </w:r>
      <w:r w:rsidR="00815270" w:rsidRPr="000572AB">
        <w:rPr>
          <w:sz w:val="20"/>
          <w:lang w:eastAsia="uk-UA"/>
        </w:rPr>
        <w:t>19 лютого 2018</w:t>
      </w:r>
      <w:r w:rsidR="00431615" w:rsidRPr="000572AB">
        <w:rPr>
          <w:sz w:val="20"/>
          <w:lang w:eastAsia="uk-UA"/>
        </w:rPr>
        <w:t xml:space="preserve"> року.</w:t>
      </w:r>
    </w:p>
    <w:p w:rsidR="00255AA5" w:rsidRPr="000572AB" w:rsidRDefault="00255AA5" w:rsidP="00D542E2">
      <w:pPr>
        <w:pStyle w:val="ad"/>
        <w:ind w:firstLine="709"/>
        <w:contextualSpacing/>
        <w:rPr>
          <w:sz w:val="20"/>
          <w:lang w:eastAsia="uk-UA"/>
        </w:rPr>
      </w:pPr>
    </w:p>
    <w:p w:rsidR="00255AA5" w:rsidRPr="000572AB" w:rsidRDefault="00255AA5" w:rsidP="00D542E2">
      <w:pPr>
        <w:pStyle w:val="a"/>
        <w:rPr>
          <w:noProof/>
          <w:sz w:val="20"/>
          <w:szCs w:val="20"/>
        </w:rPr>
      </w:pPr>
      <w:bookmarkStart w:id="0" w:name="_Toc348532197"/>
      <w:r w:rsidRPr="000572AB">
        <w:rPr>
          <w:noProof/>
          <w:sz w:val="20"/>
          <w:szCs w:val="20"/>
        </w:rPr>
        <w:t>Економічне середовище, в якому Товариство проводить свою діяльність</w:t>
      </w:r>
      <w:bookmarkEnd w:id="0"/>
    </w:p>
    <w:p w:rsidR="00FE4FD0" w:rsidRPr="000572AB" w:rsidRDefault="00FE4FD0" w:rsidP="00D542E2">
      <w:pPr>
        <w:pStyle w:val="ABC-paragrahinNotes"/>
        <w:spacing w:after="0"/>
        <w:ind w:firstLine="709"/>
        <w:contextualSpacing/>
        <w:rPr>
          <w:rFonts w:ascii="Times New Roman" w:hAnsi="Times New Roman"/>
          <w:color w:val="000000"/>
          <w:lang w:val="uk-UA"/>
        </w:rPr>
      </w:pPr>
      <w:r w:rsidRPr="000572AB">
        <w:rPr>
          <w:rFonts w:ascii="Times New Roman" w:hAnsi="Times New Roman"/>
          <w:color w:val="000000"/>
          <w:lang w:val="uk-UA"/>
        </w:rPr>
        <w:t xml:space="preserve">Незважаючи на те, що економіка України визнана ринковою, вона продовжує демонструвати особливості, характерні для перехідної економіки. Ці особливості включають, крім іншого, наявність валюти, що не є вільно конвертованою за межами України, валютні обмеження і контроль, відносно високу інфляцію і високі процентні ставки. Стабільність української економіки буде в значній мірі залежати від політики та дій </w:t>
      </w:r>
      <w:r w:rsidR="002E184F" w:rsidRPr="000572AB">
        <w:rPr>
          <w:rFonts w:ascii="Times New Roman" w:hAnsi="Times New Roman"/>
          <w:color w:val="000000"/>
          <w:lang w:val="uk-UA"/>
        </w:rPr>
        <w:t>У</w:t>
      </w:r>
      <w:r w:rsidRPr="000572AB">
        <w:rPr>
          <w:rFonts w:ascii="Times New Roman" w:hAnsi="Times New Roman"/>
          <w:color w:val="000000"/>
          <w:lang w:val="uk-UA"/>
        </w:rPr>
        <w:t>ряду, спрямованих на реформування адміністративної та правової систем, а також економіки в цілому. Внаслідок цього економічна діяльність в Україні пов'язана з ризиками, які не є типовими для розвинених країн.</w:t>
      </w:r>
    </w:p>
    <w:p w:rsidR="00FE4FD0" w:rsidRPr="000572AB" w:rsidRDefault="00FE4FD0" w:rsidP="00D542E2">
      <w:pPr>
        <w:pStyle w:val="ABC-paragrahinNotes"/>
        <w:spacing w:after="0"/>
        <w:ind w:firstLine="709"/>
        <w:contextualSpacing/>
        <w:rPr>
          <w:rFonts w:ascii="Times New Roman" w:hAnsi="Times New Roman"/>
          <w:color w:val="000000"/>
          <w:lang w:val="uk-UA"/>
        </w:rPr>
      </w:pPr>
      <w:r w:rsidRPr="000572AB">
        <w:rPr>
          <w:rFonts w:ascii="Times New Roman" w:hAnsi="Times New Roman"/>
          <w:color w:val="000000"/>
          <w:lang w:val="uk-UA"/>
        </w:rPr>
        <w:t xml:space="preserve">На сьогоднішній день економіка України переживає важкий етап економічної та політичної кризи. На українську економіку впливають ринкові коливання та зниження темпів економічного розвитку. Наслідки фінансової кризи призвели до нестабільності на ринках капіталу, суттєвого погіршення ліквідності у банківському секторі, ускладненні умов кредитування в Україні, що впливає на економічний та  інвестиційний клімат в середині країни. </w:t>
      </w:r>
    </w:p>
    <w:p w:rsidR="00FE4FD0" w:rsidRPr="000572AB" w:rsidRDefault="00FE4FD0" w:rsidP="00D542E2">
      <w:pPr>
        <w:pStyle w:val="ABC-paragrahinNotes"/>
        <w:spacing w:after="0"/>
        <w:ind w:firstLine="709"/>
        <w:contextualSpacing/>
        <w:rPr>
          <w:rFonts w:ascii="Times New Roman" w:hAnsi="Times New Roman"/>
          <w:color w:val="000000"/>
          <w:lang w:val="uk-UA"/>
        </w:rPr>
      </w:pPr>
      <w:r w:rsidRPr="000572AB">
        <w:rPr>
          <w:rFonts w:ascii="Times New Roman" w:hAnsi="Times New Roman"/>
          <w:color w:val="000000"/>
          <w:lang w:val="uk-UA"/>
        </w:rPr>
        <w:t>Подальший економічний розвиток України значною мірою залежить від ефективності економічних, фінансових та монетарних заходів, які вживаються Урядом, а також від змін у податковій, юридичній, регулятивній та політичній сферах.</w:t>
      </w:r>
    </w:p>
    <w:p w:rsidR="00FE4FD0" w:rsidRPr="000572AB" w:rsidRDefault="00FE4FD0" w:rsidP="00D542E2">
      <w:pPr>
        <w:pStyle w:val="ABC-paragrahinNotes"/>
        <w:spacing w:after="0"/>
        <w:ind w:firstLine="709"/>
        <w:contextualSpacing/>
        <w:rPr>
          <w:rFonts w:ascii="Times New Roman" w:hAnsi="Times New Roman"/>
          <w:color w:val="000000"/>
          <w:lang w:val="uk-UA"/>
        </w:rPr>
      </w:pPr>
      <w:r w:rsidRPr="000572AB">
        <w:rPr>
          <w:rFonts w:ascii="Times New Roman" w:hAnsi="Times New Roman"/>
          <w:color w:val="000000"/>
          <w:lang w:val="uk-UA"/>
        </w:rPr>
        <w:t>Податкове, валютне та митне законодавство в Україні допускає різні тлумачення та часто змінюється, податкові реформи в Україні тривають.</w:t>
      </w:r>
    </w:p>
    <w:p w:rsidR="00255AA5" w:rsidRPr="000572AB" w:rsidRDefault="002E184F" w:rsidP="00D542E2">
      <w:pPr>
        <w:pStyle w:val="ABC-paragrahinNotes"/>
        <w:spacing w:after="0"/>
        <w:ind w:firstLine="709"/>
        <w:contextualSpacing/>
        <w:rPr>
          <w:rFonts w:ascii="Times New Roman" w:hAnsi="Times New Roman"/>
          <w:lang w:val="uk-UA"/>
        </w:rPr>
      </w:pPr>
      <w:r w:rsidRPr="000572AB">
        <w:rPr>
          <w:rFonts w:ascii="Times New Roman" w:hAnsi="Times New Roman"/>
          <w:color w:val="000000"/>
          <w:lang w:val="uk-UA"/>
        </w:rPr>
        <w:t>Керівництв</w:t>
      </w:r>
      <w:r w:rsidR="00FE4FD0" w:rsidRPr="000572AB">
        <w:rPr>
          <w:rFonts w:ascii="Times New Roman" w:hAnsi="Times New Roman"/>
          <w:color w:val="000000"/>
          <w:lang w:val="uk-UA"/>
        </w:rPr>
        <w:t>о</w:t>
      </w:r>
      <w:r w:rsidRPr="000572AB">
        <w:rPr>
          <w:rFonts w:ascii="Times New Roman" w:hAnsi="Times New Roman"/>
          <w:color w:val="000000"/>
          <w:lang w:val="uk-UA"/>
        </w:rPr>
        <w:t xml:space="preserve"> Товариства (надалі Керівництво)</w:t>
      </w:r>
      <w:r w:rsidR="00FE4FD0" w:rsidRPr="000572AB">
        <w:rPr>
          <w:rFonts w:ascii="Times New Roman" w:hAnsi="Times New Roman"/>
          <w:color w:val="000000"/>
          <w:lang w:val="uk-UA"/>
        </w:rPr>
        <w:t xml:space="preserve"> не може передбачити всі тенденції, які можуть впливати на  фінансовий  сектор та інші галузі економіки, а також те, який вплив (за наявності такого) вони </w:t>
      </w:r>
      <w:r w:rsidR="00FE4FD0" w:rsidRPr="000572AB">
        <w:rPr>
          <w:rFonts w:ascii="Times New Roman" w:hAnsi="Times New Roman"/>
          <w:color w:val="000000"/>
          <w:lang w:val="uk-UA"/>
        </w:rPr>
        <w:lastRenderedPageBreak/>
        <w:t xml:space="preserve">можуть мати на майбутній фінансовий стан Товариства. </w:t>
      </w:r>
      <w:r w:rsidRPr="000572AB">
        <w:rPr>
          <w:rFonts w:ascii="Times New Roman" w:hAnsi="Times New Roman"/>
          <w:color w:val="000000"/>
          <w:lang w:val="uk-UA"/>
        </w:rPr>
        <w:t>Керівництв</w:t>
      </w:r>
      <w:r w:rsidR="00FE4FD0" w:rsidRPr="000572AB">
        <w:rPr>
          <w:rFonts w:ascii="Times New Roman" w:hAnsi="Times New Roman"/>
          <w:color w:val="000000"/>
          <w:lang w:val="uk-UA"/>
        </w:rPr>
        <w:t>о впевнене, що воно вживає всіх необхідних заходів для забезпечення стабільної діяльності та розвитку Товариства.</w:t>
      </w:r>
    </w:p>
    <w:p w:rsidR="00255AA5" w:rsidRPr="000572AB" w:rsidRDefault="00255AA5" w:rsidP="00D542E2">
      <w:pPr>
        <w:pStyle w:val="a"/>
        <w:numPr>
          <w:ilvl w:val="0"/>
          <w:numId w:val="0"/>
        </w:numPr>
        <w:ind w:left="720"/>
        <w:rPr>
          <w:sz w:val="20"/>
          <w:szCs w:val="20"/>
        </w:rPr>
      </w:pPr>
    </w:p>
    <w:p w:rsidR="00FF0CD5" w:rsidRPr="000572AB" w:rsidRDefault="00FF0CD5" w:rsidP="00D542E2">
      <w:pPr>
        <w:pStyle w:val="a"/>
        <w:rPr>
          <w:rFonts w:eastAsia="Calibri"/>
          <w:sz w:val="20"/>
          <w:szCs w:val="20"/>
        </w:rPr>
      </w:pPr>
      <w:r w:rsidRPr="000572AB">
        <w:rPr>
          <w:rFonts w:eastAsia="Calibri"/>
          <w:sz w:val="20"/>
          <w:szCs w:val="20"/>
        </w:rPr>
        <w:t>Нові стандарти, що були випущені та набудуть чинност</w:t>
      </w:r>
      <w:r w:rsidR="00F13FCA" w:rsidRPr="000572AB">
        <w:rPr>
          <w:rFonts w:eastAsia="Calibri"/>
          <w:sz w:val="20"/>
          <w:szCs w:val="20"/>
        </w:rPr>
        <w:t>і з 1 січня 2018 року і пізніше</w:t>
      </w:r>
      <w:r w:rsidR="002E184F" w:rsidRPr="000572AB">
        <w:rPr>
          <w:rFonts w:eastAsia="Calibri"/>
          <w:sz w:val="20"/>
          <w:szCs w:val="20"/>
        </w:rPr>
        <w:t xml:space="preserve"> </w:t>
      </w:r>
    </w:p>
    <w:p w:rsidR="00FF0CD5" w:rsidRPr="000572AB" w:rsidRDefault="00FF0CD5" w:rsidP="00D542E2">
      <w:pPr>
        <w:spacing w:after="0" w:line="240" w:lineRule="auto"/>
        <w:ind w:firstLine="708"/>
        <w:jc w:val="both"/>
        <w:rPr>
          <w:rFonts w:ascii="Times New Roman" w:hAnsi="Times New Roman"/>
          <w:spacing w:val="4"/>
          <w:sz w:val="20"/>
          <w:szCs w:val="20"/>
        </w:rPr>
      </w:pPr>
      <w:r w:rsidRPr="000572AB">
        <w:rPr>
          <w:rFonts w:ascii="Times New Roman" w:hAnsi="Times New Roman"/>
          <w:spacing w:val="4"/>
          <w:sz w:val="20"/>
          <w:szCs w:val="20"/>
        </w:rPr>
        <w:t>Новий МСФЗ 9 (2014) «Фінансові інструменти» набирає чинності з 01 січня 2018 року. Стандарт застосовується ретроспективно з деякими виключеннями, але не вимагається виконання перерахунку за попередні періоди у відношенні класифікації та оцінки (включаючи зменшення корисності).</w:t>
      </w:r>
      <w:r w:rsidR="008F7B50" w:rsidRPr="000572AB">
        <w:rPr>
          <w:rFonts w:ascii="Times New Roman" w:hAnsi="Times New Roman"/>
          <w:spacing w:val="4"/>
          <w:sz w:val="20"/>
          <w:szCs w:val="20"/>
          <w:lang w:val="ru-RU"/>
        </w:rPr>
        <w:t xml:space="preserve"> </w:t>
      </w:r>
      <w:r w:rsidRPr="000572AB">
        <w:rPr>
          <w:rFonts w:ascii="Times New Roman" w:hAnsi="Times New Roman"/>
          <w:spacing w:val="4"/>
          <w:sz w:val="20"/>
          <w:szCs w:val="20"/>
        </w:rPr>
        <w:t xml:space="preserve">У відповідності до МСФЗ 9, існує три категорії обліку боргових інструментів: за амортизованою вартістю, за справедливою вартістю через інший сукупний дохід і за справедливою вартістю через прибутки/збитки. Принципи оцінки кожної категорії є аналогічними до діючих вимог МСБО 39. Класифікація залежить від бізнес-моделі управління фінансовими активами та від того, чи включають контрактні потоки грошових коштів платежі за основною сумою заборгованості і проценти. Інвестиції в інструменти капіталу завжди оцінюються за справедливою вартістю. Однак, </w:t>
      </w:r>
      <w:r w:rsidR="002E184F" w:rsidRPr="000572AB">
        <w:rPr>
          <w:rFonts w:ascii="Times New Roman" w:hAnsi="Times New Roman"/>
          <w:spacing w:val="4"/>
          <w:sz w:val="20"/>
          <w:szCs w:val="20"/>
        </w:rPr>
        <w:t>Керівництв</w:t>
      </w:r>
      <w:r w:rsidRPr="000572AB">
        <w:rPr>
          <w:rFonts w:ascii="Times New Roman" w:hAnsi="Times New Roman"/>
          <w:spacing w:val="4"/>
          <w:sz w:val="20"/>
          <w:szCs w:val="20"/>
        </w:rPr>
        <w:t xml:space="preserve">о може прийняти безвідкличне рішення про представлення змін справедливої вартості в іншому сукупному доході, якщо даний інструмент не відноситься до категорії «утримувані для торгівлі». Якщо ж він відноситься до категорії «утримувані для торгівлі», то зміни справедливої вартості включаються до складу прибутків/збитків. Всі інші інструменти (у тому числі всі похідні інструменти), оцінюються за справедливою вартістю з відображенням змін у складі прибутку або збитку. МСФЗ 9 містить «триетапний» підхід до обліку кредитних збитків, який заснований на змінах кредитної якості фінансових активів з моменту їх первісного визнання. При значному збільшенні кредитного ризику зменшення корисності оцінюється за допомогою очікуваних кредитних збитків за весь строк дії кредиту, а не за 12 місяців. Переглянутий варіант МСФЗ 9 представляє нову модель обліку хеджування, яка розроблена, щоб бути більш тісно пов'язана з тим, як суб'єкт господарювання здійснює діяльність з управління ризиками при хеджуванні фінансових і нефінансових ризиків. Товариство не застосовувало МСФЗ 9 (2014) до своєї фінансової звітності за 2017 рік. За оцінками </w:t>
      </w:r>
      <w:r w:rsidR="002E184F" w:rsidRPr="000572AB">
        <w:rPr>
          <w:rFonts w:ascii="Times New Roman" w:hAnsi="Times New Roman"/>
          <w:spacing w:val="4"/>
          <w:sz w:val="20"/>
          <w:szCs w:val="20"/>
        </w:rPr>
        <w:t>Керівництв</w:t>
      </w:r>
      <w:r w:rsidRPr="000572AB">
        <w:rPr>
          <w:rFonts w:ascii="Times New Roman" w:hAnsi="Times New Roman"/>
          <w:spacing w:val="4"/>
          <w:sz w:val="20"/>
          <w:szCs w:val="20"/>
        </w:rPr>
        <w:t>а Товариства, застосування стандарту в майбутньому може суттєво вплинути на вартість фінансових активів і фінансових зобов’язань. Однак, до того часу, поки не буде завершена детальна перевірка, неможливо зробити обґрунтовану оцінку впливу МСФЗ 9 на майбутню фінансову звітність Товариства.</w:t>
      </w:r>
    </w:p>
    <w:p w:rsidR="00A005F3" w:rsidRPr="000572AB" w:rsidRDefault="00FF0CD5" w:rsidP="00D542E2">
      <w:pPr>
        <w:spacing w:after="0" w:line="240" w:lineRule="auto"/>
        <w:ind w:firstLine="708"/>
        <w:jc w:val="both"/>
        <w:rPr>
          <w:rFonts w:ascii="Times New Roman" w:hAnsi="Times New Roman"/>
          <w:spacing w:val="4"/>
          <w:sz w:val="20"/>
          <w:szCs w:val="20"/>
        </w:rPr>
      </w:pPr>
      <w:r w:rsidRPr="000572AB">
        <w:rPr>
          <w:rFonts w:ascii="Times New Roman" w:hAnsi="Times New Roman"/>
          <w:spacing w:val="4"/>
          <w:sz w:val="20"/>
          <w:szCs w:val="20"/>
        </w:rPr>
        <w:t>МСФЗ 15 «Виручка за контрактами з клієнтами» застосовується до першої річної фінансової звітності за період, що починається з або після 1 січня 2018 року. Стандарт забезпечує єдину комплексну модель обліку виручки на основі п'ятиступінчастої моделі, яка може застосовуватися до всіх договорів з клієнтами</w:t>
      </w:r>
      <w:r w:rsidR="009B0326" w:rsidRPr="000572AB">
        <w:rPr>
          <w:rFonts w:ascii="Times New Roman" w:hAnsi="Times New Roman"/>
          <w:spacing w:val="4"/>
          <w:sz w:val="20"/>
          <w:szCs w:val="20"/>
        </w:rPr>
        <w:t xml:space="preserve">. </w:t>
      </w:r>
    </w:p>
    <w:p w:rsidR="00FF0CD5" w:rsidRPr="000572AB" w:rsidRDefault="00FF0CD5" w:rsidP="00D542E2">
      <w:pPr>
        <w:spacing w:after="0" w:line="240" w:lineRule="auto"/>
        <w:ind w:firstLine="708"/>
        <w:jc w:val="both"/>
        <w:rPr>
          <w:rFonts w:ascii="Times New Roman" w:hAnsi="Times New Roman"/>
          <w:spacing w:val="4"/>
          <w:sz w:val="20"/>
          <w:szCs w:val="20"/>
        </w:rPr>
      </w:pPr>
      <w:r w:rsidRPr="000572AB">
        <w:rPr>
          <w:rFonts w:ascii="Times New Roman" w:hAnsi="Times New Roman"/>
          <w:spacing w:val="4"/>
          <w:sz w:val="20"/>
          <w:szCs w:val="20"/>
        </w:rPr>
        <w:t>Товариство не застосовувало МСФЗ 15 до своєї фінансової звітності за 2017 рік. Вплив застосування стандарту на фінансову звітність майбутніх періодів може бути суттєвим, але на дату складання цієї фінансової звітності обґрунтовано оцінити кількісний вплив на майбутню фінансову звітність не є можливим.</w:t>
      </w:r>
    </w:p>
    <w:p w:rsidR="00FF0CD5" w:rsidRPr="000572AB" w:rsidRDefault="00FF0CD5" w:rsidP="00D542E2">
      <w:pPr>
        <w:spacing w:after="0" w:line="240" w:lineRule="auto"/>
        <w:ind w:firstLine="708"/>
        <w:jc w:val="both"/>
        <w:rPr>
          <w:rFonts w:ascii="Times New Roman" w:hAnsi="Times New Roman"/>
          <w:color w:val="0070C0"/>
          <w:spacing w:val="4"/>
          <w:sz w:val="20"/>
          <w:szCs w:val="20"/>
        </w:rPr>
      </w:pPr>
      <w:r w:rsidRPr="000572AB">
        <w:rPr>
          <w:rFonts w:ascii="Times New Roman" w:hAnsi="Times New Roman"/>
          <w:spacing w:val="4"/>
          <w:sz w:val="20"/>
          <w:szCs w:val="20"/>
        </w:rPr>
        <w:t xml:space="preserve">МСФЗ 16 «Оренда» застосовується до першої річної фінансової звітності за період, що починається з або після 1 січня 2019 року. Стандарт замінює облік операційної та фінансової оренди для орендарів єдиною моделлю. Стандарт може застосовуватись повністю ретроспективно або без перерахунку інформації за порівняльний період з визнанням сумарного ефекту від первісного застосування стандарту як коригування вхідних залишків. Товариство не застосовувало МСФЗ 16 до своєї фінансової звітності за 2017 рік. За оцінками </w:t>
      </w:r>
      <w:r w:rsidR="002E184F" w:rsidRPr="000572AB">
        <w:rPr>
          <w:rFonts w:ascii="Times New Roman" w:hAnsi="Times New Roman"/>
          <w:spacing w:val="4"/>
          <w:sz w:val="20"/>
          <w:szCs w:val="20"/>
        </w:rPr>
        <w:t>Керівництв</w:t>
      </w:r>
      <w:r w:rsidRPr="000572AB">
        <w:rPr>
          <w:rFonts w:ascii="Times New Roman" w:hAnsi="Times New Roman"/>
          <w:spacing w:val="4"/>
          <w:sz w:val="20"/>
          <w:szCs w:val="20"/>
        </w:rPr>
        <w:t>а Товариства, застосування стандарту в майбутньому суттєво не вплине на вартість активів і зобов’язань, а також на характер та розмір витрат, оскільки витрати з оренди не є суттєвими для підприємства</w:t>
      </w:r>
      <w:r w:rsidRPr="000572AB">
        <w:rPr>
          <w:rFonts w:ascii="Times New Roman" w:hAnsi="Times New Roman"/>
          <w:color w:val="0070C0"/>
          <w:spacing w:val="4"/>
          <w:sz w:val="20"/>
          <w:szCs w:val="20"/>
        </w:rPr>
        <w:t xml:space="preserve">. </w:t>
      </w:r>
    </w:p>
    <w:p w:rsidR="00A005F3" w:rsidRPr="000572AB" w:rsidRDefault="00FF0CD5" w:rsidP="00D542E2">
      <w:pPr>
        <w:spacing w:after="0" w:line="240" w:lineRule="auto"/>
        <w:ind w:firstLine="708"/>
        <w:jc w:val="both"/>
        <w:rPr>
          <w:rFonts w:ascii="Times New Roman" w:hAnsi="Times New Roman"/>
          <w:spacing w:val="4"/>
          <w:sz w:val="20"/>
          <w:szCs w:val="20"/>
        </w:rPr>
      </w:pPr>
      <w:r w:rsidRPr="000572AB">
        <w:rPr>
          <w:rFonts w:ascii="Times New Roman" w:hAnsi="Times New Roman"/>
          <w:spacing w:val="4"/>
          <w:sz w:val="20"/>
          <w:szCs w:val="20"/>
        </w:rPr>
        <w:t>МСФЗ 17 «Страхові контракти» застосовується до першої річної фінансової звітності за період, що починається з або після 1 січня 2021 року та замінює МСФЗ 4 «Страхові контракти». У відповідності до МСФЗ 17, компаніям необхідно буде застосовувати модель поточної оцінки, яка передбачає здійснення переоці</w:t>
      </w:r>
      <w:r w:rsidR="00A005F3" w:rsidRPr="000572AB">
        <w:rPr>
          <w:rFonts w:ascii="Times New Roman" w:hAnsi="Times New Roman"/>
          <w:spacing w:val="4"/>
          <w:sz w:val="20"/>
          <w:szCs w:val="20"/>
        </w:rPr>
        <w:t>нки в кожному звітному періоді.</w:t>
      </w:r>
    </w:p>
    <w:p w:rsidR="00FF0CD5" w:rsidRPr="000572AB" w:rsidRDefault="00FF0CD5" w:rsidP="00D542E2">
      <w:pPr>
        <w:spacing w:after="0" w:line="240" w:lineRule="auto"/>
        <w:ind w:firstLine="708"/>
        <w:jc w:val="both"/>
        <w:rPr>
          <w:rFonts w:ascii="Times New Roman" w:hAnsi="Times New Roman"/>
          <w:spacing w:val="4"/>
          <w:sz w:val="20"/>
          <w:szCs w:val="20"/>
        </w:rPr>
      </w:pPr>
      <w:r w:rsidRPr="000572AB">
        <w:rPr>
          <w:rFonts w:ascii="Times New Roman" w:hAnsi="Times New Roman"/>
          <w:spacing w:val="4"/>
          <w:sz w:val="20"/>
          <w:szCs w:val="20"/>
        </w:rPr>
        <w:t xml:space="preserve">За оцінками </w:t>
      </w:r>
      <w:r w:rsidR="002E184F" w:rsidRPr="000572AB">
        <w:rPr>
          <w:rFonts w:ascii="Times New Roman" w:hAnsi="Times New Roman"/>
          <w:spacing w:val="4"/>
          <w:sz w:val="20"/>
          <w:szCs w:val="20"/>
        </w:rPr>
        <w:t>Керівництв</w:t>
      </w:r>
      <w:r w:rsidRPr="000572AB">
        <w:rPr>
          <w:rFonts w:ascii="Times New Roman" w:hAnsi="Times New Roman"/>
          <w:spacing w:val="4"/>
          <w:sz w:val="20"/>
          <w:szCs w:val="20"/>
        </w:rPr>
        <w:t>а МСФО 17 не вплине на активи і зобов’язання Товариства, оскільки МСФЗ 17 не застосовується підприємством.</w:t>
      </w:r>
    </w:p>
    <w:p w:rsidR="00FF0CD5" w:rsidRPr="000572AB" w:rsidRDefault="00FF0CD5" w:rsidP="00D542E2">
      <w:pPr>
        <w:spacing w:after="0" w:line="240" w:lineRule="auto"/>
        <w:ind w:firstLine="708"/>
        <w:jc w:val="both"/>
        <w:rPr>
          <w:rFonts w:ascii="Times New Roman" w:hAnsi="Times New Roman"/>
          <w:b/>
          <w:i/>
          <w:spacing w:val="4"/>
          <w:sz w:val="20"/>
          <w:szCs w:val="20"/>
        </w:rPr>
      </w:pPr>
      <w:r w:rsidRPr="000572AB">
        <w:rPr>
          <w:rFonts w:ascii="Times New Roman" w:hAnsi="Times New Roman"/>
          <w:b/>
          <w:i/>
          <w:spacing w:val="4"/>
          <w:sz w:val="20"/>
          <w:szCs w:val="20"/>
        </w:rPr>
        <w:t>Зміни до стандартів, що були випущені та набудуть чинності з 1 січня 2018 року і пізніше.</w:t>
      </w:r>
    </w:p>
    <w:p w:rsidR="00FF0CD5" w:rsidRPr="000572AB" w:rsidRDefault="00FF0CD5" w:rsidP="00D542E2">
      <w:pPr>
        <w:spacing w:after="0" w:line="240" w:lineRule="auto"/>
        <w:ind w:firstLine="708"/>
        <w:jc w:val="both"/>
        <w:rPr>
          <w:rFonts w:ascii="Times New Roman" w:eastAsia="Times New Roman" w:hAnsi="Times New Roman"/>
          <w:sz w:val="20"/>
          <w:szCs w:val="20"/>
          <w:lang w:eastAsia="ru-RU"/>
        </w:rPr>
      </w:pPr>
      <w:r w:rsidRPr="000572AB">
        <w:rPr>
          <w:rFonts w:ascii="Times New Roman" w:eastAsia="Times New Roman" w:hAnsi="Times New Roman"/>
          <w:sz w:val="20"/>
          <w:szCs w:val="20"/>
          <w:lang w:eastAsia="ru-RU"/>
        </w:rPr>
        <w:t>Поправки до МСФЗ 2 «Платіж на основі акцій» застосовуються для річних періодів, що починаються з або після 1 січня 2018 року. Поправки роз’яснюють ситуацію, коли виплати на основі акцій з розрахунками грошовими коштами змінюються на виплати на основі акцій з розрахунками інструментами власного капіталу у зв’язку з модифікацією умов та строків. Поправки до МСФЗ 2 не вплинуть фінансову звітність Товариства у зв’язку з тим, що Товариство не здійснює і не планує здійснювати операції, платежі за якими здійснюються на основі акцій.</w:t>
      </w:r>
    </w:p>
    <w:p w:rsidR="006C4D70" w:rsidRPr="000572AB" w:rsidRDefault="00FF0CD5" w:rsidP="00D542E2">
      <w:pPr>
        <w:spacing w:after="0" w:line="240" w:lineRule="auto"/>
        <w:ind w:firstLine="708"/>
        <w:jc w:val="both"/>
        <w:rPr>
          <w:rFonts w:ascii="Times New Roman" w:eastAsia="Times New Roman" w:hAnsi="Times New Roman"/>
          <w:sz w:val="20"/>
          <w:szCs w:val="20"/>
          <w:lang w:eastAsia="ru-RU"/>
        </w:rPr>
      </w:pPr>
      <w:r w:rsidRPr="000572AB">
        <w:rPr>
          <w:rFonts w:ascii="Times New Roman" w:eastAsia="Times New Roman" w:hAnsi="Times New Roman"/>
          <w:sz w:val="20"/>
          <w:szCs w:val="20"/>
          <w:lang w:eastAsia="ru-RU"/>
        </w:rPr>
        <w:t xml:space="preserve">Поправки до МСФЗ 10 «Консолідована фінансова звітність» та МСБО 28 «Інвестиції в асоційовані підприємства» були випущені в вересні 2014 року, а в грудні 2015 року дату набуття чинності поправок було перенесено не невизначений строк до завершення проекту дослідження у відношенні методу участі в капіталі (дострокове застосування допускається). </w:t>
      </w:r>
      <w:r w:rsidR="006C4D70" w:rsidRPr="000572AB">
        <w:rPr>
          <w:rFonts w:ascii="Times New Roman" w:hAnsi="Times New Roman"/>
          <w:spacing w:val="4"/>
          <w:sz w:val="20"/>
          <w:szCs w:val="20"/>
        </w:rPr>
        <w:t xml:space="preserve">За оцінками </w:t>
      </w:r>
      <w:r w:rsidR="002E184F" w:rsidRPr="000572AB">
        <w:rPr>
          <w:rFonts w:ascii="Times New Roman" w:hAnsi="Times New Roman"/>
          <w:spacing w:val="4"/>
          <w:sz w:val="20"/>
          <w:szCs w:val="20"/>
        </w:rPr>
        <w:t>Керівництв</w:t>
      </w:r>
      <w:r w:rsidR="006C4D70" w:rsidRPr="000572AB">
        <w:rPr>
          <w:rFonts w:ascii="Times New Roman" w:hAnsi="Times New Roman"/>
          <w:spacing w:val="4"/>
          <w:sz w:val="20"/>
          <w:szCs w:val="20"/>
        </w:rPr>
        <w:t xml:space="preserve">а </w:t>
      </w:r>
      <w:r w:rsidR="00751FDF" w:rsidRPr="000572AB">
        <w:rPr>
          <w:rFonts w:ascii="Times New Roman" w:eastAsia="Times New Roman" w:hAnsi="Times New Roman"/>
          <w:sz w:val="20"/>
          <w:szCs w:val="20"/>
          <w:lang w:eastAsia="ru-RU"/>
        </w:rPr>
        <w:t>МСФЗ 10 та МСБО 28</w:t>
      </w:r>
      <w:r w:rsidR="006C4D70" w:rsidRPr="000572AB">
        <w:rPr>
          <w:rFonts w:ascii="Times New Roman" w:hAnsi="Times New Roman"/>
          <w:spacing w:val="4"/>
          <w:sz w:val="20"/>
          <w:szCs w:val="20"/>
        </w:rPr>
        <w:t xml:space="preserve"> не вплине на </w:t>
      </w:r>
      <w:r w:rsidR="00751FDF" w:rsidRPr="000572AB">
        <w:rPr>
          <w:rFonts w:ascii="Times New Roman" w:hAnsi="Times New Roman"/>
          <w:spacing w:val="4"/>
          <w:sz w:val="20"/>
          <w:szCs w:val="20"/>
        </w:rPr>
        <w:t>діяльність</w:t>
      </w:r>
      <w:r w:rsidR="006C4D70" w:rsidRPr="000572AB">
        <w:rPr>
          <w:rFonts w:ascii="Times New Roman" w:hAnsi="Times New Roman"/>
          <w:spacing w:val="4"/>
          <w:sz w:val="20"/>
          <w:szCs w:val="20"/>
        </w:rPr>
        <w:t xml:space="preserve"> Товариства, оскільки </w:t>
      </w:r>
      <w:r w:rsidR="00751FDF" w:rsidRPr="000572AB">
        <w:rPr>
          <w:rFonts w:ascii="Times New Roman" w:eastAsia="Times New Roman" w:hAnsi="Times New Roman"/>
          <w:sz w:val="20"/>
          <w:szCs w:val="20"/>
          <w:lang w:eastAsia="ru-RU"/>
        </w:rPr>
        <w:t xml:space="preserve">МСФЗ 10 та МСБО 28 </w:t>
      </w:r>
      <w:r w:rsidR="006C4D70" w:rsidRPr="000572AB">
        <w:rPr>
          <w:rFonts w:ascii="Times New Roman" w:hAnsi="Times New Roman"/>
          <w:spacing w:val="4"/>
          <w:sz w:val="20"/>
          <w:szCs w:val="20"/>
        </w:rPr>
        <w:t>не застосовується підприємством.</w:t>
      </w:r>
    </w:p>
    <w:p w:rsidR="00FF0CD5" w:rsidRPr="000572AB" w:rsidRDefault="00FF0CD5" w:rsidP="00D542E2">
      <w:pPr>
        <w:spacing w:after="0" w:line="240" w:lineRule="auto"/>
        <w:ind w:firstLine="708"/>
        <w:jc w:val="both"/>
        <w:rPr>
          <w:rFonts w:ascii="Times New Roman" w:eastAsia="Times New Roman" w:hAnsi="Times New Roman"/>
          <w:strike/>
          <w:sz w:val="20"/>
          <w:szCs w:val="20"/>
          <w:lang w:eastAsia="ru-RU"/>
        </w:rPr>
      </w:pPr>
      <w:r w:rsidRPr="000572AB">
        <w:rPr>
          <w:rFonts w:ascii="Times New Roman" w:eastAsia="Times New Roman" w:hAnsi="Times New Roman"/>
          <w:sz w:val="20"/>
          <w:szCs w:val="20"/>
          <w:lang w:eastAsia="ru-RU"/>
        </w:rPr>
        <w:lastRenderedPageBreak/>
        <w:t xml:space="preserve">Поправки до МСФЗ 4 «Страхові контракти» застосовуються у відношенні річних періодів, які починаються 1 січня 2018 року або пізніше. </w:t>
      </w:r>
    </w:p>
    <w:p w:rsidR="00FF0CD5" w:rsidRPr="000572AB" w:rsidRDefault="00751FDF" w:rsidP="00D542E2">
      <w:pPr>
        <w:spacing w:after="0" w:line="240" w:lineRule="auto"/>
        <w:jc w:val="both"/>
        <w:rPr>
          <w:rFonts w:ascii="Times New Roman" w:eastAsia="Times New Roman" w:hAnsi="Times New Roman"/>
          <w:sz w:val="20"/>
          <w:szCs w:val="20"/>
          <w:lang w:eastAsia="ru-RU"/>
        </w:rPr>
      </w:pPr>
      <w:r w:rsidRPr="000572AB">
        <w:rPr>
          <w:rFonts w:ascii="Times New Roman" w:eastAsia="Times New Roman" w:hAnsi="Times New Roman"/>
          <w:sz w:val="20"/>
          <w:szCs w:val="20"/>
          <w:lang w:eastAsia="ru-RU"/>
        </w:rPr>
        <w:t xml:space="preserve">За оцінками </w:t>
      </w:r>
      <w:r w:rsidR="002E184F" w:rsidRPr="000572AB">
        <w:rPr>
          <w:rFonts w:ascii="Times New Roman" w:eastAsia="Times New Roman" w:hAnsi="Times New Roman"/>
          <w:sz w:val="20"/>
          <w:szCs w:val="20"/>
          <w:lang w:eastAsia="ru-RU"/>
        </w:rPr>
        <w:t>Керівництв</w:t>
      </w:r>
      <w:r w:rsidRPr="000572AB">
        <w:rPr>
          <w:rFonts w:ascii="Times New Roman" w:eastAsia="Times New Roman" w:hAnsi="Times New Roman"/>
          <w:sz w:val="20"/>
          <w:szCs w:val="20"/>
          <w:lang w:eastAsia="ru-RU"/>
        </w:rPr>
        <w:t xml:space="preserve">а МСФЗ </w:t>
      </w:r>
      <w:r w:rsidRPr="000572AB">
        <w:rPr>
          <w:rFonts w:ascii="Times New Roman" w:eastAsia="Times New Roman" w:hAnsi="Times New Roman"/>
          <w:sz w:val="20"/>
          <w:szCs w:val="20"/>
          <w:lang w:val="ru-RU" w:eastAsia="ru-RU"/>
        </w:rPr>
        <w:t>4</w:t>
      </w:r>
      <w:r w:rsidRPr="000572AB">
        <w:rPr>
          <w:rFonts w:ascii="Times New Roman" w:eastAsia="Times New Roman" w:hAnsi="Times New Roman"/>
          <w:sz w:val="20"/>
          <w:szCs w:val="20"/>
          <w:lang w:eastAsia="ru-RU"/>
        </w:rPr>
        <w:t xml:space="preserve"> не вплине на діяльність Товариства, оскільки МСФЗ </w:t>
      </w:r>
      <w:r w:rsidRPr="000572AB">
        <w:rPr>
          <w:rFonts w:ascii="Times New Roman" w:eastAsia="Times New Roman" w:hAnsi="Times New Roman"/>
          <w:sz w:val="20"/>
          <w:szCs w:val="20"/>
          <w:lang w:val="ru-RU" w:eastAsia="ru-RU"/>
        </w:rPr>
        <w:t>4</w:t>
      </w:r>
      <w:r w:rsidRPr="000572AB">
        <w:rPr>
          <w:rFonts w:ascii="Times New Roman" w:eastAsia="Times New Roman" w:hAnsi="Times New Roman"/>
          <w:sz w:val="20"/>
          <w:szCs w:val="20"/>
          <w:lang w:eastAsia="ru-RU"/>
        </w:rPr>
        <w:t xml:space="preserve"> не застосовується підприємством.</w:t>
      </w:r>
    </w:p>
    <w:p w:rsidR="00751FDF" w:rsidRPr="000572AB" w:rsidRDefault="00FF0CD5" w:rsidP="00D542E2">
      <w:pPr>
        <w:spacing w:after="0" w:line="240" w:lineRule="auto"/>
        <w:ind w:firstLine="708"/>
        <w:jc w:val="both"/>
        <w:rPr>
          <w:rFonts w:ascii="Times New Roman" w:hAnsi="Times New Roman"/>
          <w:spacing w:val="4"/>
          <w:sz w:val="20"/>
          <w:szCs w:val="20"/>
        </w:rPr>
      </w:pPr>
      <w:r w:rsidRPr="000572AB">
        <w:rPr>
          <w:rFonts w:ascii="Times New Roman" w:eastAsia="Times New Roman" w:hAnsi="Times New Roman"/>
          <w:sz w:val="20"/>
          <w:szCs w:val="20"/>
          <w:lang w:eastAsia="ru-RU"/>
        </w:rPr>
        <w:t xml:space="preserve">Поправки до МСФЗ 40 «Інвестиційна нерухомість» застосовуються у відношенні річних періодів, які починаються 1 січня 2018 року або пізніше. Поправки уточнюють, що для переведення в інвестиційну нерухомість або з інвестиційної нерухомості повинні відбутися зміни у використанні. </w:t>
      </w:r>
      <w:r w:rsidR="00751FDF" w:rsidRPr="000572AB">
        <w:rPr>
          <w:rFonts w:ascii="Times New Roman" w:hAnsi="Times New Roman"/>
          <w:spacing w:val="4"/>
          <w:sz w:val="20"/>
          <w:szCs w:val="20"/>
        </w:rPr>
        <w:t xml:space="preserve">За оцінками </w:t>
      </w:r>
      <w:r w:rsidR="002E184F" w:rsidRPr="000572AB">
        <w:rPr>
          <w:rFonts w:ascii="Times New Roman" w:hAnsi="Times New Roman"/>
          <w:spacing w:val="4"/>
          <w:sz w:val="20"/>
          <w:szCs w:val="20"/>
        </w:rPr>
        <w:t>Керівництв</w:t>
      </w:r>
      <w:r w:rsidR="00751FDF" w:rsidRPr="000572AB">
        <w:rPr>
          <w:rFonts w:ascii="Times New Roman" w:hAnsi="Times New Roman"/>
          <w:spacing w:val="4"/>
          <w:sz w:val="20"/>
          <w:szCs w:val="20"/>
        </w:rPr>
        <w:t xml:space="preserve">а </w:t>
      </w:r>
      <w:r w:rsidR="00751FDF" w:rsidRPr="000572AB">
        <w:rPr>
          <w:rFonts w:ascii="Times New Roman" w:eastAsia="Times New Roman" w:hAnsi="Times New Roman"/>
          <w:sz w:val="20"/>
          <w:szCs w:val="20"/>
          <w:lang w:eastAsia="ru-RU"/>
        </w:rPr>
        <w:t xml:space="preserve">МСФЗ </w:t>
      </w:r>
      <w:r w:rsidR="00751FDF" w:rsidRPr="000572AB">
        <w:rPr>
          <w:rFonts w:ascii="Times New Roman" w:eastAsia="Times New Roman" w:hAnsi="Times New Roman"/>
          <w:sz w:val="20"/>
          <w:szCs w:val="20"/>
          <w:lang w:val="ru-RU" w:eastAsia="ru-RU"/>
        </w:rPr>
        <w:t>40</w:t>
      </w:r>
      <w:r w:rsidR="00751FDF" w:rsidRPr="000572AB">
        <w:rPr>
          <w:rFonts w:ascii="Times New Roman" w:hAnsi="Times New Roman"/>
          <w:spacing w:val="4"/>
          <w:sz w:val="20"/>
          <w:szCs w:val="20"/>
        </w:rPr>
        <w:t xml:space="preserve"> не вплине на діяльність Товариства, оскільки </w:t>
      </w:r>
      <w:r w:rsidR="00751FDF" w:rsidRPr="000572AB">
        <w:rPr>
          <w:rFonts w:ascii="Times New Roman" w:eastAsia="Times New Roman" w:hAnsi="Times New Roman"/>
          <w:sz w:val="20"/>
          <w:szCs w:val="20"/>
          <w:lang w:eastAsia="ru-RU"/>
        </w:rPr>
        <w:t xml:space="preserve">МСФЗ </w:t>
      </w:r>
      <w:r w:rsidR="00751FDF" w:rsidRPr="000572AB">
        <w:rPr>
          <w:rFonts w:ascii="Times New Roman" w:eastAsia="Times New Roman" w:hAnsi="Times New Roman"/>
          <w:sz w:val="20"/>
          <w:szCs w:val="20"/>
          <w:lang w:val="ru-RU" w:eastAsia="ru-RU"/>
        </w:rPr>
        <w:t>40</w:t>
      </w:r>
      <w:r w:rsidR="00751FDF" w:rsidRPr="000572AB">
        <w:rPr>
          <w:rFonts w:ascii="Times New Roman" w:eastAsia="Times New Roman" w:hAnsi="Times New Roman"/>
          <w:sz w:val="20"/>
          <w:szCs w:val="20"/>
          <w:lang w:eastAsia="ru-RU"/>
        </w:rPr>
        <w:t xml:space="preserve"> </w:t>
      </w:r>
      <w:r w:rsidR="00751FDF" w:rsidRPr="000572AB">
        <w:rPr>
          <w:rFonts w:ascii="Times New Roman" w:hAnsi="Times New Roman"/>
          <w:spacing w:val="4"/>
          <w:sz w:val="20"/>
          <w:szCs w:val="20"/>
        </w:rPr>
        <w:t>не застосовується підприємством.</w:t>
      </w:r>
    </w:p>
    <w:p w:rsidR="00FF0CD5" w:rsidRPr="000572AB" w:rsidRDefault="00FF0CD5" w:rsidP="00D542E2">
      <w:pPr>
        <w:spacing w:after="0" w:line="240" w:lineRule="auto"/>
        <w:ind w:firstLine="708"/>
        <w:jc w:val="both"/>
        <w:rPr>
          <w:rFonts w:ascii="Times New Roman" w:eastAsia="Times New Roman" w:hAnsi="Times New Roman"/>
          <w:sz w:val="20"/>
          <w:szCs w:val="20"/>
          <w:lang w:eastAsia="ru-RU"/>
        </w:rPr>
      </w:pPr>
      <w:r w:rsidRPr="000572AB">
        <w:rPr>
          <w:rFonts w:ascii="Times New Roman" w:eastAsia="Times New Roman" w:hAnsi="Times New Roman"/>
          <w:sz w:val="20"/>
          <w:szCs w:val="20"/>
          <w:lang w:eastAsia="ru-RU"/>
        </w:rPr>
        <w:t>Поправки до МСФЗ 1 «Перше застосування Міжнародних стандартів фінансової звітності» були прийняті в рамках щорічного удосконалення та застосовуються у відношенні річних періодів, які починаються 1 січня 2018 року або пізніше</w:t>
      </w:r>
      <w:r w:rsidR="00A005F3" w:rsidRPr="000572AB">
        <w:rPr>
          <w:rFonts w:ascii="Times New Roman" w:eastAsia="Times New Roman" w:hAnsi="Times New Roman"/>
          <w:sz w:val="20"/>
          <w:szCs w:val="20"/>
          <w:lang w:eastAsia="ru-RU"/>
        </w:rPr>
        <w:t xml:space="preserve">. </w:t>
      </w:r>
      <w:r w:rsidRPr="000572AB">
        <w:rPr>
          <w:rFonts w:ascii="Times New Roman" w:eastAsia="Times New Roman" w:hAnsi="Times New Roman"/>
          <w:sz w:val="20"/>
          <w:szCs w:val="20"/>
          <w:lang w:eastAsia="ru-RU"/>
        </w:rPr>
        <w:t xml:space="preserve">Поправки до МСФЗ 1 не вплинуть фінансову звітність </w:t>
      </w:r>
      <w:r w:rsidR="00C45D8B" w:rsidRPr="000572AB">
        <w:rPr>
          <w:rFonts w:ascii="Times New Roman" w:eastAsia="Times New Roman" w:hAnsi="Times New Roman"/>
          <w:sz w:val="20"/>
          <w:szCs w:val="20"/>
          <w:lang w:eastAsia="ru-RU"/>
        </w:rPr>
        <w:t>Товариства</w:t>
      </w:r>
      <w:r w:rsidRPr="000572AB">
        <w:rPr>
          <w:rFonts w:ascii="Times New Roman" w:eastAsia="Times New Roman" w:hAnsi="Times New Roman"/>
          <w:sz w:val="20"/>
          <w:szCs w:val="20"/>
          <w:lang w:eastAsia="ru-RU"/>
        </w:rPr>
        <w:t xml:space="preserve"> у зв’язку з тим, що датою переходу </w:t>
      </w:r>
      <w:r w:rsidR="00C45D8B" w:rsidRPr="000572AB">
        <w:rPr>
          <w:rFonts w:ascii="Times New Roman" w:eastAsia="Times New Roman" w:hAnsi="Times New Roman"/>
          <w:sz w:val="20"/>
          <w:szCs w:val="20"/>
          <w:lang w:eastAsia="ru-RU"/>
        </w:rPr>
        <w:t>Товариства</w:t>
      </w:r>
      <w:r w:rsidRPr="000572AB">
        <w:rPr>
          <w:rFonts w:ascii="Times New Roman" w:eastAsia="Times New Roman" w:hAnsi="Times New Roman"/>
          <w:sz w:val="20"/>
          <w:szCs w:val="20"/>
          <w:lang w:eastAsia="ru-RU"/>
        </w:rPr>
        <w:t xml:space="preserve"> на Міжнародні стандарти фінансової звітності є 01 січня 2013 року.</w:t>
      </w:r>
    </w:p>
    <w:p w:rsidR="00FF0CD5" w:rsidRPr="000572AB" w:rsidRDefault="00FF0CD5" w:rsidP="00D542E2">
      <w:pPr>
        <w:spacing w:after="0" w:line="240" w:lineRule="auto"/>
        <w:ind w:firstLine="708"/>
        <w:jc w:val="both"/>
        <w:rPr>
          <w:rFonts w:ascii="Times New Roman" w:hAnsi="Times New Roman"/>
          <w:b/>
          <w:i/>
          <w:spacing w:val="4"/>
          <w:sz w:val="20"/>
          <w:szCs w:val="20"/>
        </w:rPr>
      </w:pPr>
      <w:r w:rsidRPr="000572AB">
        <w:rPr>
          <w:rFonts w:ascii="Times New Roman" w:hAnsi="Times New Roman"/>
          <w:b/>
          <w:i/>
          <w:spacing w:val="4"/>
          <w:sz w:val="20"/>
          <w:szCs w:val="20"/>
        </w:rPr>
        <w:t>Нові тлумачення, що були випущені та набудуть чинності з 1 січня 2018 року і пізніше.</w:t>
      </w:r>
    </w:p>
    <w:p w:rsidR="00FF0CD5" w:rsidRPr="000572AB" w:rsidRDefault="00FF0CD5" w:rsidP="00D542E2">
      <w:pPr>
        <w:spacing w:after="0" w:line="240" w:lineRule="auto"/>
        <w:ind w:firstLine="708"/>
        <w:jc w:val="both"/>
        <w:rPr>
          <w:rFonts w:ascii="Times New Roman" w:eastAsia="Times New Roman" w:hAnsi="Times New Roman"/>
          <w:sz w:val="20"/>
          <w:szCs w:val="20"/>
          <w:lang w:eastAsia="ru-RU"/>
        </w:rPr>
      </w:pPr>
      <w:r w:rsidRPr="000572AB">
        <w:rPr>
          <w:rFonts w:ascii="Times New Roman" w:eastAsia="Times New Roman" w:hAnsi="Times New Roman"/>
          <w:sz w:val="20"/>
          <w:szCs w:val="20"/>
          <w:lang w:eastAsia="ru-RU"/>
        </w:rPr>
        <w:t>Тлумачення КТМФЗ 22 «Операції в іноземній валюті та аванси» набирає чинності з 1 січня 2018 року. Тлумачення роз’яснює</w:t>
      </w:r>
      <w:r w:rsidR="00ED4A77" w:rsidRPr="000572AB">
        <w:rPr>
          <w:rFonts w:ascii="Times New Roman" w:eastAsia="Times New Roman" w:hAnsi="Times New Roman"/>
          <w:sz w:val="20"/>
          <w:szCs w:val="20"/>
          <w:lang w:eastAsia="ru-RU"/>
        </w:rPr>
        <w:t>,</w:t>
      </w:r>
      <w:r w:rsidRPr="000572AB">
        <w:rPr>
          <w:rFonts w:ascii="Times New Roman" w:eastAsia="Times New Roman" w:hAnsi="Times New Roman"/>
          <w:sz w:val="20"/>
          <w:szCs w:val="20"/>
          <w:lang w:eastAsia="ru-RU"/>
        </w:rPr>
        <w:t xml:space="preserve"> що дату визнання авансу або відкладеного доходу (зобов’язання) слід вважати датою здійснення операції з метою визначення обмінного курсу. Якщо операція передбачає декілька платежів або надходжень, датою здійснення операції вважається дата кожного платежу або надходження.</w:t>
      </w:r>
    </w:p>
    <w:p w:rsidR="00FF0CD5" w:rsidRPr="000572AB" w:rsidRDefault="00FF0CD5" w:rsidP="00D542E2">
      <w:pPr>
        <w:spacing w:after="0" w:line="240" w:lineRule="auto"/>
        <w:ind w:firstLine="708"/>
        <w:jc w:val="both"/>
        <w:rPr>
          <w:rFonts w:ascii="Times New Roman" w:eastAsia="Times New Roman" w:hAnsi="Times New Roman"/>
          <w:sz w:val="20"/>
          <w:szCs w:val="20"/>
          <w:lang w:eastAsia="ru-RU"/>
        </w:rPr>
      </w:pPr>
      <w:r w:rsidRPr="000572AB">
        <w:rPr>
          <w:rFonts w:ascii="Times New Roman" w:eastAsia="Times New Roman" w:hAnsi="Times New Roman"/>
          <w:sz w:val="20"/>
          <w:szCs w:val="20"/>
          <w:lang w:eastAsia="ru-RU"/>
        </w:rPr>
        <w:t>Тлумачення КТМФЗ 23 «Невизначеність відносно розрахунку податку на прибуток» набирає чинності з 1 січня 2019 року. Тлумачення надає роз’яснення у визначенні податку на прибуток в ситуації, коли існує невизначеність щодо вимог податкових органів відносно конкретної операції або обставин. Основним є критерій: чи є високою ймовірність того, що податковий орган погодиться з трактуванням податкового законодавства, яке застосувало підприємство під час складання податкової декларації. Якщо так, то підприємство відобразить в фінансовій звітності таку ж суму податку на прибуток, як і в податковій декларації, та розкриє інформацію стосовно невизначеності. Якщо ні, то сума, відображена в фінансовій звітності, буде відрізнятися від суми, відображеної в податковій декларації, оскільки вона оцінюється з врахуванням невизначеності.</w:t>
      </w:r>
    </w:p>
    <w:p w:rsidR="002E184F" w:rsidRPr="000572AB" w:rsidRDefault="002E184F" w:rsidP="00D542E2">
      <w:pPr>
        <w:spacing w:after="0" w:line="240" w:lineRule="auto"/>
        <w:ind w:firstLine="708"/>
        <w:jc w:val="both"/>
        <w:rPr>
          <w:rFonts w:ascii="Times New Roman" w:eastAsia="Times New Roman" w:hAnsi="Times New Roman"/>
          <w:sz w:val="20"/>
          <w:szCs w:val="20"/>
          <w:lang w:eastAsia="ru-RU"/>
        </w:rPr>
      </w:pPr>
    </w:p>
    <w:p w:rsidR="00321F17" w:rsidRPr="000572AB" w:rsidRDefault="00321F17" w:rsidP="00D542E2">
      <w:pPr>
        <w:pStyle w:val="a"/>
        <w:rPr>
          <w:sz w:val="20"/>
          <w:szCs w:val="20"/>
        </w:rPr>
      </w:pPr>
      <w:r w:rsidRPr="000572AB">
        <w:rPr>
          <w:sz w:val="20"/>
          <w:szCs w:val="20"/>
        </w:rPr>
        <w:t>Судження щодо операцій, подій або умов за відсутності конкретних МСФЗ</w:t>
      </w:r>
      <w:r w:rsidR="002E184F" w:rsidRPr="000572AB">
        <w:rPr>
          <w:sz w:val="20"/>
          <w:szCs w:val="20"/>
        </w:rPr>
        <w:t>.</w:t>
      </w:r>
    </w:p>
    <w:p w:rsidR="00321F17" w:rsidRPr="000572AB" w:rsidRDefault="00321F17" w:rsidP="00D542E2">
      <w:pPr>
        <w:autoSpaceDE w:val="0"/>
        <w:autoSpaceDN w:val="0"/>
        <w:adjustRightInd w:val="0"/>
        <w:spacing w:after="0" w:line="240" w:lineRule="auto"/>
        <w:jc w:val="both"/>
        <w:rPr>
          <w:rFonts w:ascii="Times New Roman" w:eastAsia="Times New Roman" w:hAnsi="Times New Roman"/>
          <w:sz w:val="20"/>
          <w:szCs w:val="20"/>
          <w:lang w:eastAsia="ru-RU"/>
        </w:rPr>
      </w:pPr>
      <w:r w:rsidRPr="000572AB">
        <w:rPr>
          <w:rFonts w:ascii="Times New Roman" w:eastAsia="Times New Roman" w:hAnsi="Times New Roman"/>
          <w:sz w:val="20"/>
          <w:szCs w:val="20"/>
          <w:lang w:eastAsia="ru-RU"/>
        </w:rPr>
        <w:t xml:space="preserve">Якщо немає МСФЗ, який конкретно застосовується до операції, іншої події або умови, </w:t>
      </w:r>
      <w:r w:rsidR="002E184F" w:rsidRPr="000572AB">
        <w:rPr>
          <w:rFonts w:ascii="Times New Roman" w:eastAsia="Times New Roman" w:hAnsi="Times New Roman"/>
          <w:sz w:val="20"/>
          <w:szCs w:val="20"/>
          <w:lang w:eastAsia="ru-RU"/>
        </w:rPr>
        <w:t>Керівництв</w:t>
      </w:r>
      <w:r w:rsidRPr="000572AB">
        <w:rPr>
          <w:rFonts w:ascii="Times New Roman" w:eastAsia="Times New Roman" w:hAnsi="Times New Roman"/>
          <w:sz w:val="20"/>
          <w:szCs w:val="20"/>
          <w:lang w:eastAsia="ru-RU"/>
        </w:rPr>
        <w:t xml:space="preserve">о </w:t>
      </w:r>
      <w:r w:rsidR="00AA0085" w:rsidRPr="000572AB">
        <w:rPr>
          <w:rFonts w:ascii="Times New Roman" w:eastAsia="Times New Roman" w:hAnsi="Times New Roman"/>
          <w:sz w:val="20"/>
          <w:szCs w:val="20"/>
          <w:lang w:eastAsia="ru-RU"/>
        </w:rPr>
        <w:t>Товариств</w:t>
      </w:r>
      <w:r w:rsidR="00763DBF" w:rsidRPr="000572AB">
        <w:rPr>
          <w:rFonts w:ascii="Times New Roman" w:eastAsia="Times New Roman" w:hAnsi="Times New Roman"/>
          <w:sz w:val="20"/>
          <w:szCs w:val="20"/>
          <w:lang w:eastAsia="ru-RU"/>
        </w:rPr>
        <w:t>а</w:t>
      </w:r>
      <w:r w:rsidRPr="000572AB">
        <w:rPr>
          <w:rFonts w:ascii="Times New Roman" w:eastAsia="Times New Roman" w:hAnsi="Times New Roman"/>
          <w:sz w:val="20"/>
          <w:szCs w:val="20"/>
          <w:lang w:eastAsia="ru-RU"/>
        </w:rPr>
        <w:t xml:space="preserve"> застосовує судження під час розроблення та застосування облікової політики, щоб інформація була доречною для потреб користувачів для прийняття економічних рішень та достовірною, у тому значенні, що фінансова звітність:</w:t>
      </w:r>
    </w:p>
    <w:p w:rsidR="00321F17" w:rsidRPr="000572AB" w:rsidRDefault="00321F17" w:rsidP="00D542E2">
      <w:pPr>
        <w:numPr>
          <w:ilvl w:val="0"/>
          <w:numId w:val="10"/>
        </w:numPr>
        <w:autoSpaceDE w:val="0"/>
        <w:autoSpaceDN w:val="0"/>
        <w:adjustRightInd w:val="0"/>
        <w:spacing w:after="0" w:line="240" w:lineRule="auto"/>
        <w:ind w:left="993" w:firstLine="0"/>
        <w:jc w:val="both"/>
        <w:rPr>
          <w:rFonts w:ascii="Times New Roman" w:eastAsia="Times New Roman" w:hAnsi="Times New Roman"/>
          <w:sz w:val="20"/>
          <w:szCs w:val="20"/>
          <w:lang w:eastAsia="ru-RU"/>
        </w:rPr>
      </w:pPr>
      <w:r w:rsidRPr="000572AB">
        <w:rPr>
          <w:rFonts w:ascii="Times New Roman" w:eastAsia="Times New Roman" w:hAnsi="Times New Roman"/>
          <w:sz w:val="20"/>
          <w:szCs w:val="20"/>
          <w:lang w:eastAsia="ru-RU"/>
        </w:rPr>
        <w:t xml:space="preserve">подає достовірно фінансовий стан, фінансові результати діяльності та грошові потоки </w:t>
      </w:r>
      <w:r w:rsidR="00AA0085" w:rsidRPr="000572AB">
        <w:rPr>
          <w:rFonts w:ascii="Times New Roman" w:eastAsia="Times New Roman" w:hAnsi="Times New Roman"/>
          <w:sz w:val="20"/>
          <w:szCs w:val="20"/>
          <w:lang w:eastAsia="ru-RU"/>
        </w:rPr>
        <w:t>Товариства</w:t>
      </w:r>
      <w:r w:rsidRPr="000572AB">
        <w:rPr>
          <w:rFonts w:ascii="Times New Roman" w:eastAsia="Times New Roman" w:hAnsi="Times New Roman"/>
          <w:sz w:val="20"/>
          <w:szCs w:val="20"/>
          <w:lang w:eastAsia="ru-RU"/>
        </w:rPr>
        <w:t>;</w:t>
      </w:r>
    </w:p>
    <w:p w:rsidR="00321F17" w:rsidRPr="000572AB" w:rsidRDefault="00321F17" w:rsidP="00D542E2">
      <w:pPr>
        <w:numPr>
          <w:ilvl w:val="0"/>
          <w:numId w:val="10"/>
        </w:numPr>
        <w:tabs>
          <w:tab w:val="left" w:pos="993"/>
        </w:tabs>
        <w:autoSpaceDE w:val="0"/>
        <w:autoSpaceDN w:val="0"/>
        <w:adjustRightInd w:val="0"/>
        <w:spacing w:after="0" w:line="240" w:lineRule="auto"/>
        <w:ind w:left="993" w:firstLine="0"/>
        <w:jc w:val="both"/>
        <w:rPr>
          <w:rFonts w:ascii="Times New Roman" w:eastAsia="Times New Roman" w:hAnsi="Times New Roman"/>
          <w:sz w:val="20"/>
          <w:szCs w:val="20"/>
          <w:lang w:eastAsia="ru-RU"/>
        </w:rPr>
      </w:pPr>
      <w:r w:rsidRPr="000572AB">
        <w:rPr>
          <w:rFonts w:ascii="Times New Roman" w:eastAsia="Times New Roman" w:hAnsi="Times New Roman"/>
          <w:sz w:val="20"/>
          <w:szCs w:val="20"/>
          <w:lang w:eastAsia="ru-RU"/>
        </w:rPr>
        <w:t>відображає економічну сутність операцій, інших подій або умов, а не лише юридичну форму;</w:t>
      </w:r>
    </w:p>
    <w:p w:rsidR="00321F17" w:rsidRPr="000572AB" w:rsidRDefault="00321F17" w:rsidP="00D542E2">
      <w:pPr>
        <w:numPr>
          <w:ilvl w:val="0"/>
          <w:numId w:val="10"/>
        </w:numPr>
        <w:tabs>
          <w:tab w:val="left" w:pos="993"/>
        </w:tabs>
        <w:autoSpaceDE w:val="0"/>
        <w:autoSpaceDN w:val="0"/>
        <w:adjustRightInd w:val="0"/>
        <w:spacing w:after="0" w:line="240" w:lineRule="auto"/>
        <w:ind w:left="993" w:firstLine="0"/>
        <w:jc w:val="both"/>
        <w:rPr>
          <w:rFonts w:ascii="Times New Roman" w:eastAsia="Times New Roman" w:hAnsi="Times New Roman"/>
          <w:sz w:val="20"/>
          <w:szCs w:val="20"/>
          <w:lang w:eastAsia="ru-RU"/>
        </w:rPr>
      </w:pPr>
      <w:r w:rsidRPr="000572AB">
        <w:rPr>
          <w:rFonts w:ascii="Times New Roman" w:eastAsia="Times New Roman" w:hAnsi="Times New Roman"/>
          <w:sz w:val="20"/>
          <w:szCs w:val="20"/>
          <w:lang w:eastAsia="ru-RU"/>
        </w:rPr>
        <w:t>є нейтральною, тобто вільною від упереджень;</w:t>
      </w:r>
    </w:p>
    <w:p w:rsidR="00321F17" w:rsidRPr="000572AB" w:rsidRDefault="00321F17" w:rsidP="00D542E2">
      <w:pPr>
        <w:numPr>
          <w:ilvl w:val="0"/>
          <w:numId w:val="10"/>
        </w:numPr>
        <w:tabs>
          <w:tab w:val="left" w:pos="993"/>
        </w:tabs>
        <w:autoSpaceDE w:val="0"/>
        <w:autoSpaceDN w:val="0"/>
        <w:adjustRightInd w:val="0"/>
        <w:spacing w:after="0" w:line="240" w:lineRule="auto"/>
        <w:ind w:left="993" w:firstLine="0"/>
        <w:jc w:val="both"/>
        <w:rPr>
          <w:rFonts w:ascii="Times New Roman" w:eastAsia="Times New Roman" w:hAnsi="Times New Roman"/>
          <w:sz w:val="20"/>
          <w:szCs w:val="20"/>
          <w:lang w:eastAsia="ru-RU"/>
        </w:rPr>
      </w:pPr>
      <w:r w:rsidRPr="000572AB">
        <w:rPr>
          <w:rFonts w:ascii="Times New Roman" w:eastAsia="Times New Roman" w:hAnsi="Times New Roman"/>
          <w:sz w:val="20"/>
          <w:szCs w:val="20"/>
          <w:lang w:eastAsia="ru-RU"/>
        </w:rPr>
        <w:t>є повною в усіх суттєвих аспектах.</w:t>
      </w:r>
    </w:p>
    <w:p w:rsidR="00321F17" w:rsidRPr="000572AB" w:rsidRDefault="00321F17" w:rsidP="00D542E2">
      <w:pPr>
        <w:autoSpaceDE w:val="0"/>
        <w:autoSpaceDN w:val="0"/>
        <w:adjustRightInd w:val="0"/>
        <w:spacing w:after="0" w:line="240" w:lineRule="auto"/>
        <w:jc w:val="both"/>
        <w:rPr>
          <w:rFonts w:ascii="Times New Roman" w:eastAsia="Times New Roman" w:hAnsi="Times New Roman"/>
          <w:sz w:val="20"/>
          <w:szCs w:val="20"/>
          <w:lang w:eastAsia="ru-RU"/>
        </w:rPr>
      </w:pPr>
      <w:r w:rsidRPr="000572AB">
        <w:rPr>
          <w:rFonts w:ascii="Times New Roman" w:eastAsia="Times New Roman" w:hAnsi="Times New Roman"/>
          <w:sz w:val="20"/>
          <w:szCs w:val="20"/>
          <w:lang w:eastAsia="ru-RU"/>
        </w:rPr>
        <w:t xml:space="preserve">Під час здійснення судження </w:t>
      </w:r>
      <w:r w:rsidR="002E184F" w:rsidRPr="000572AB">
        <w:rPr>
          <w:rFonts w:ascii="Times New Roman" w:eastAsia="Times New Roman" w:hAnsi="Times New Roman"/>
          <w:sz w:val="20"/>
          <w:szCs w:val="20"/>
          <w:lang w:eastAsia="ru-RU"/>
        </w:rPr>
        <w:t>Керівництв</w:t>
      </w:r>
      <w:r w:rsidRPr="000572AB">
        <w:rPr>
          <w:rFonts w:ascii="Times New Roman" w:eastAsia="Times New Roman" w:hAnsi="Times New Roman"/>
          <w:sz w:val="20"/>
          <w:szCs w:val="20"/>
          <w:lang w:eastAsia="ru-RU"/>
        </w:rPr>
        <w:t xml:space="preserve">о </w:t>
      </w:r>
      <w:r w:rsidR="00AA0085" w:rsidRPr="000572AB">
        <w:rPr>
          <w:rFonts w:ascii="Times New Roman" w:eastAsia="Times New Roman" w:hAnsi="Times New Roman"/>
          <w:sz w:val="20"/>
          <w:szCs w:val="20"/>
          <w:lang w:eastAsia="ru-RU"/>
        </w:rPr>
        <w:t>Товариств</w:t>
      </w:r>
      <w:r w:rsidR="00AD25CC" w:rsidRPr="000572AB">
        <w:rPr>
          <w:rFonts w:ascii="Times New Roman" w:eastAsia="Times New Roman" w:hAnsi="Times New Roman"/>
          <w:sz w:val="20"/>
          <w:szCs w:val="20"/>
          <w:lang w:val="ru-RU" w:eastAsia="ru-RU"/>
        </w:rPr>
        <w:t>а</w:t>
      </w:r>
      <w:r w:rsidRPr="000572AB">
        <w:rPr>
          <w:rFonts w:ascii="Times New Roman" w:eastAsia="Times New Roman" w:hAnsi="Times New Roman"/>
          <w:sz w:val="20"/>
          <w:szCs w:val="20"/>
          <w:lang w:eastAsia="ru-RU"/>
        </w:rPr>
        <w:t xml:space="preserve"> посилається на прийнятність наведених далі джерел та враховує їх у низхідному порядку:</w:t>
      </w:r>
    </w:p>
    <w:p w:rsidR="00321F17" w:rsidRPr="000572AB" w:rsidRDefault="00321F17" w:rsidP="00D542E2">
      <w:pPr>
        <w:numPr>
          <w:ilvl w:val="0"/>
          <w:numId w:val="11"/>
        </w:numPr>
        <w:tabs>
          <w:tab w:val="left" w:pos="993"/>
        </w:tabs>
        <w:spacing w:after="0" w:line="240" w:lineRule="auto"/>
        <w:ind w:left="993" w:firstLine="0"/>
        <w:jc w:val="both"/>
        <w:rPr>
          <w:rFonts w:ascii="Times New Roman" w:eastAsia="Times New Roman" w:hAnsi="Times New Roman"/>
          <w:bCs/>
          <w:sz w:val="20"/>
          <w:szCs w:val="20"/>
          <w:lang w:eastAsia="ru-RU"/>
        </w:rPr>
      </w:pPr>
      <w:r w:rsidRPr="000572AB">
        <w:rPr>
          <w:rFonts w:ascii="Times New Roman" w:eastAsia="Times New Roman" w:hAnsi="Times New Roman"/>
          <w:bCs/>
          <w:sz w:val="20"/>
          <w:szCs w:val="20"/>
          <w:lang w:eastAsia="ru-RU"/>
        </w:rPr>
        <w:t>вимоги в МСФЗ, у яких ідеться про подібні та пов’язані з ними питання;</w:t>
      </w:r>
    </w:p>
    <w:p w:rsidR="00321F17" w:rsidRPr="000572AB" w:rsidRDefault="00321F17" w:rsidP="00D542E2">
      <w:pPr>
        <w:numPr>
          <w:ilvl w:val="0"/>
          <w:numId w:val="11"/>
        </w:numPr>
        <w:tabs>
          <w:tab w:val="left" w:pos="993"/>
        </w:tabs>
        <w:spacing w:after="0" w:line="240" w:lineRule="auto"/>
        <w:ind w:left="993" w:firstLine="0"/>
        <w:jc w:val="both"/>
        <w:rPr>
          <w:rFonts w:ascii="Times New Roman" w:eastAsia="Times New Roman" w:hAnsi="Times New Roman"/>
          <w:bCs/>
          <w:sz w:val="20"/>
          <w:szCs w:val="20"/>
          <w:lang w:eastAsia="ru-RU"/>
        </w:rPr>
      </w:pPr>
      <w:r w:rsidRPr="000572AB">
        <w:rPr>
          <w:rFonts w:ascii="Times New Roman" w:eastAsia="Times New Roman" w:hAnsi="Times New Roman"/>
          <w:bCs/>
          <w:sz w:val="20"/>
          <w:szCs w:val="20"/>
          <w:lang w:eastAsia="ru-RU"/>
        </w:rPr>
        <w:t>визначення, критерії визнання та концепції оцінки активів, зобов’язань, доходів та витрат у Концептуальній основі фінансової звітності.</w:t>
      </w:r>
    </w:p>
    <w:p w:rsidR="00321F17" w:rsidRPr="000572AB" w:rsidRDefault="00321F17" w:rsidP="00D542E2">
      <w:pPr>
        <w:autoSpaceDE w:val="0"/>
        <w:autoSpaceDN w:val="0"/>
        <w:adjustRightInd w:val="0"/>
        <w:spacing w:after="0" w:line="240" w:lineRule="auto"/>
        <w:jc w:val="both"/>
        <w:rPr>
          <w:rFonts w:ascii="Times New Roman" w:eastAsia="Times New Roman" w:hAnsi="Times New Roman"/>
          <w:sz w:val="20"/>
          <w:szCs w:val="20"/>
          <w:lang w:eastAsia="ru-RU"/>
        </w:rPr>
      </w:pPr>
      <w:r w:rsidRPr="000572AB">
        <w:rPr>
          <w:rFonts w:ascii="Times New Roman" w:eastAsia="Times New Roman" w:hAnsi="Times New Roman"/>
          <w:sz w:val="20"/>
          <w:szCs w:val="20"/>
          <w:lang w:eastAsia="ru-RU"/>
        </w:rPr>
        <w:t xml:space="preserve">Під час здійснення судження </w:t>
      </w:r>
      <w:r w:rsidR="002E184F" w:rsidRPr="000572AB">
        <w:rPr>
          <w:rFonts w:ascii="Times New Roman" w:eastAsia="Times New Roman" w:hAnsi="Times New Roman"/>
          <w:sz w:val="20"/>
          <w:szCs w:val="20"/>
          <w:lang w:eastAsia="ru-RU"/>
        </w:rPr>
        <w:t>Керівництв</w:t>
      </w:r>
      <w:r w:rsidRPr="000572AB">
        <w:rPr>
          <w:rFonts w:ascii="Times New Roman" w:eastAsia="Times New Roman" w:hAnsi="Times New Roman"/>
          <w:sz w:val="20"/>
          <w:szCs w:val="20"/>
          <w:lang w:eastAsia="ru-RU"/>
        </w:rPr>
        <w:t xml:space="preserve">о </w:t>
      </w:r>
      <w:r w:rsidR="00AA0085" w:rsidRPr="000572AB">
        <w:rPr>
          <w:rFonts w:ascii="Times New Roman" w:eastAsia="Times New Roman" w:hAnsi="Times New Roman"/>
          <w:sz w:val="20"/>
          <w:szCs w:val="20"/>
          <w:lang w:eastAsia="ru-RU"/>
        </w:rPr>
        <w:t>Товариства</w:t>
      </w:r>
      <w:r w:rsidRPr="000572AB">
        <w:rPr>
          <w:rFonts w:ascii="Times New Roman" w:eastAsia="Times New Roman" w:hAnsi="Times New Roman"/>
          <w:sz w:val="20"/>
          <w:szCs w:val="20"/>
          <w:lang w:eastAsia="ru-RU"/>
        </w:rPr>
        <w:t xml:space="preserve"> враховує найостанніші положення інших органів, що розробляють та затверджують стандарти, які застосовують подібну концептуальну основу для розроблення стандартів, іншу професійну літературу з обліку та прийняті галузеві практики, тією мірою, якою вони не суперечать вищезазначеним джерелам.</w:t>
      </w:r>
    </w:p>
    <w:p w:rsidR="007E1EB9" w:rsidRPr="000572AB" w:rsidRDefault="007E1EB9" w:rsidP="00D542E2">
      <w:pPr>
        <w:autoSpaceDE w:val="0"/>
        <w:autoSpaceDN w:val="0"/>
        <w:adjustRightInd w:val="0"/>
        <w:spacing w:after="0" w:line="240" w:lineRule="auto"/>
        <w:jc w:val="both"/>
        <w:rPr>
          <w:rFonts w:ascii="Times New Roman" w:eastAsia="Times New Roman" w:hAnsi="Times New Roman"/>
          <w:sz w:val="20"/>
          <w:szCs w:val="20"/>
          <w:lang w:eastAsia="ru-RU"/>
        </w:rPr>
      </w:pPr>
    </w:p>
    <w:p w:rsidR="00D8476E" w:rsidRPr="000572AB" w:rsidRDefault="00D8476E" w:rsidP="00D542E2">
      <w:pPr>
        <w:pStyle w:val="a"/>
        <w:rPr>
          <w:sz w:val="20"/>
          <w:szCs w:val="20"/>
        </w:rPr>
      </w:pPr>
      <w:r w:rsidRPr="000572AB">
        <w:rPr>
          <w:sz w:val="20"/>
          <w:szCs w:val="20"/>
        </w:rPr>
        <w:t>Основні принципи облікової політики</w:t>
      </w:r>
    </w:p>
    <w:p w:rsidR="000C7646" w:rsidRPr="000572AB" w:rsidRDefault="000C7646"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Основні принципи облікової політики, застосовані при підготовці цієї фінансової інформації спеціального призначення, наведені нижче. Ці принципи облікової політики послідовно застосовувалися протягом усіх представлених звітних періодів.</w:t>
      </w:r>
    </w:p>
    <w:p w:rsidR="000C7646" w:rsidRPr="000572AB" w:rsidRDefault="000C7646" w:rsidP="00D542E2">
      <w:pPr>
        <w:pStyle w:val="ae"/>
        <w:ind w:firstLine="709"/>
        <w:contextualSpacing/>
        <w:jc w:val="both"/>
        <w:rPr>
          <w:rFonts w:ascii="Times New Roman" w:hAnsi="Times New Roman"/>
          <w:sz w:val="20"/>
          <w:szCs w:val="20"/>
        </w:rPr>
      </w:pPr>
      <w:r w:rsidRPr="000572AB">
        <w:rPr>
          <w:rFonts w:ascii="Times New Roman" w:hAnsi="Times New Roman"/>
          <w:sz w:val="20"/>
          <w:szCs w:val="20"/>
        </w:rPr>
        <w:t>При складанні фін</w:t>
      </w:r>
      <w:r w:rsidR="00CC3E2F" w:rsidRPr="000572AB">
        <w:rPr>
          <w:rFonts w:ascii="Times New Roman" w:hAnsi="Times New Roman"/>
          <w:sz w:val="20"/>
          <w:szCs w:val="20"/>
        </w:rPr>
        <w:t>ансової звітності за МСФЗ в 201</w:t>
      </w:r>
      <w:r w:rsidR="00A13C6A" w:rsidRPr="000572AB">
        <w:rPr>
          <w:rFonts w:ascii="Times New Roman" w:hAnsi="Times New Roman"/>
          <w:sz w:val="20"/>
          <w:szCs w:val="20"/>
        </w:rPr>
        <w:t>7</w:t>
      </w:r>
      <w:r w:rsidRPr="000572AB">
        <w:rPr>
          <w:rFonts w:ascii="Times New Roman" w:hAnsi="Times New Roman"/>
          <w:sz w:val="20"/>
          <w:szCs w:val="20"/>
        </w:rPr>
        <w:t xml:space="preserve"> р. Товариство дотримувалося принципів складання фінансової звітності, викладених у Концептуальній основі складання фінансової звітності за МСФЗ та основних принципів, передбачених ст. 4 Закону України «Про бухгалтерський облік і фінансову звітність в Україні», а саме:</w:t>
      </w:r>
    </w:p>
    <w:p w:rsidR="00397955" w:rsidRPr="000572AB" w:rsidRDefault="00397955" w:rsidP="00D542E2">
      <w:pPr>
        <w:pStyle w:val="ae"/>
        <w:numPr>
          <w:ilvl w:val="0"/>
          <w:numId w:val="3"/>
        </w:numPr>
        <w:contextualSpacing/>
        <w:jc w:val="both"/>
        <w:rPr>
          <w:rFonts w:ascii="Times New Roman" w:hAnsi="Times New Roman"/>
          <w:sz w:val="20"/>
          <w:szCs w:val="20"/>
        </w:rPr>
      </w:pPr>
      <w:r w:rsidRPr="000572AB">
        <w:rPr>
          <w:rFonts w:ascii="Times New Roman" w:hAnsi="Times New Roman"/>
          <w:sz w:val="20"/>
          <w:szCs w:val="20"/>
        </w:rPr>
        <w:t>повне висвітлення - фінансова звітність містить інформацію про фактичні та потенційні наслідки господарських операцій та подій, здатних вплинути на рішення, що приймаються на її основі;</w:t>
      </w:r>
    </w:p>
    <w:p w:rsidR="00397955" w:rsidRPr="000572AB" w:rsidRDefault="00397955" w:rsidP="00D542E2">
      <w:pPr>
        <w:pStyle w:val="ae"/>
        <w:numPr>
          <w:ilvl w:val="0"/>
          <w:numId w:val="3"/>
        </w:numPr>
        <w:contextualSpacing/>
        <w:jc w:val="both"/>
        <w:rPr>
          <w:rFonts w:ascii="Times New Roman" w:hAnsi="Times New Roman"/>
          <w:sz w:val="20"/>
          <w:szCs w:val="20"/>
        </w:rPr>
      </w:pPr>
      <w:r w:rsidRPr="000572AB">
        <w:rPr>
          <w:rFonts w:ascii="Times New Roman" w:hAnsi="Times New Roman"/>
          <w:sz w:val="20"/>
          <w:szCs w:val="20"/>
        </w:rPr>
        <w:t>автономність -  Товариство розглядається як юридична особа, відокремлена від її власників, у зв'язку з чим особисте майно та зобов'язання власників не відображаються у фінансовій звітності Товариства;</w:t>
      </w:r>
    </w:p>
    <w:p w:rsidR="00397955" w:rsidRPr="000572AB" w:rsidRDefault="00397955" w:rsidP="00D542E2">
      <w:pPr>
        <w:pStyle w:val="ae"/>
        <w:numPr>
          <w:ilvl w:val="0"/>
          <w:numId w:val="3"/>
        </w:numPr>
        <w:contextualSpacing/>
        <w:jc w:val="both"/>
        <w:rPr>
          <w:rFonts w:ascii="Times New Roman" w:hAnsi="Times New Roman"/>
          <w:sz w:val="20"/>
          <w:szCs w:val="20"/>
        </w:rPr>
      </w:pPr>
      <w:r w:rsidRPr="000572AB">
        <w:rPr>
          <w:rFonts w:ascii="Times New Roman" w:hAnsi="Times New Roman"/>
          <w:sz w:val="20"/>
          <w:szCs w:val="20"/>
        </w:rPr>
        <w:lastRenderedPageBreak/>
        <w:t>послідовність - постійне (з року в рік) застосування підприємством обраної облікової політики. Зміна облікової політики можлива лише у випадках, передбачених національними положеннями (стандартами) бухгалтерського обліку, міжнародними стандартами фінансової звітності та національними положеннями (стандартами) бухгалтерського обліку у державному секторі, і повинна бути обґрунтована та розкрита у фінансовій звітності;</w:t>
      </w:r>
    </w:p>
    <w:p w:rsidR="00397955" w:rsidRPr="000572AB" w:rsidRDefault="00397955" w:rsidP="00D542E2">
      <w:pPr>
        <w:pStyle w:val="ae"/>
        <w:numPr>
          <w:ilvl w:val="0"/>
          <w:numId w:val="3"/>
        </w:numPr>
        <w:contextualSpacing/>
        <w:jc w:val="both"/>
        <w:rPr>
          <w:rFonts w:ascii="Times New Roman" w:hAnsi="Times New Roman"/>
          <w:sz w:val="20"/>
          <w:szCs w:val="20"/>
        </w:rPr>
      </w:pPr>
      <w:r w:rsidRPr="000572AB">
        <w:rPr>
          <w:rFonts w:ascii="Times New Roman" w:hAnsi="Times New Roman"/>
          <w:sz w:val="20"/>
          <w:szCs w:val="20"/>
        </w:rPr>
        <w:t xml:space="preserve">безперервність - оцінка активів та зобов'язань </w:t>
      </w:r>
      <w:r w:rsidR="009872D7" w:rsidRPr="000572AB">
        <w:rPr>
          <w:rFonts w:ascii="Times New Roman" w:hAnsi="Times New Roman"/>
          <w:sz w:val="20"/>
          <w:szCs w:val="20"/>
        </w:rPr>
        <w:t>Товариства</w:t>
      </w:r>
      <w:r w:rsidRPr="000572AB">
        <w:rPr>
          <w:rFonts w:ascii="Times New Roman" w:hAnsi="Times New Roman"/>
          <w:sz w:val="20"/>
          <w:szCs w:val="20"/>
        </w:rPr>
        <w:t xml:space="preserve"> здійснюється виходячи з припущення, що його діяльність буде тривати й надалі;</w:t>
      </w:r>
    </w:p>
    <w:p w:rsidR="00397955" w:rsidRPr="000572AB" w:rsidRDefault="00397955" w:rsidP="00D542E2">
      <w:pPr>
        <w:pStyle w:val="ae"/>
        <w:numPr>
          <w:ilvl w:val="0"/>
          <w:numId w:val="3"/>
        </w:numPr>
        <w:contextualSpacing/>
        <w:jc w:val="both"/>
        <w:rPr>
          <w:rFonts w:ascii="Times New Roman" w:hAnsi="Times New Roman"/>
          <w:sz w:val="20"/>
          <w:szCs w:val="20"/>
        </w:rPr>
      </w:pPr>
      <w:r w:rsidRPr="000572AB">
        <w:rPr>
          <w:rFonts w:ascii="Times New Roman" w:hAnsi="Times New Roman"/>
          <w:sz w:val="20"/>
          <w:szCs w:val="20"/>
        </w:rPr>
        <w:t>нарахування - доходи і витрати відображаються в бухгалтерському обліку та фінансовій звітності в момент їх виникнення, незалежно від дати надходження або сплати грошових коштів;</w:t>
      </w:r>
    </w:p>
    <w:p w:rsidR="00397955" w:rsidRPr="000572AB" w:rsidRDefault="00397955" w:rsidP="00D542E2">
      <w:pPr>
        <w:pStyle w:val="ae"/>
        <w:numPr>
          <w:ilvl w:val="0"/>
          <w:numId w:val="3"/>
        </w:numPr>
        <w:contextualSpacing/>
        <w:jc w:val="both"/>
        <w:rPr>
          <w:rFonts w:ascii="Times New Roman" w:hAnsi="Times New Roman"/>
          <w:sz w:val="20"/>
          <w:szCs w:val="20"/>
        </w:rPr>
      </w:pPr>
      <w:r w:rsidRPr="000572AB">
        <w:rPr>
          <w:rFonts w:ascii="Times New Roman" w:hAnsi="Times New Roman"/>
          <w:sz w:val="20"/>
          <w:szCs w:val="20"/>
        </w:rPr>
        <w:t>превалювання сутності над формою - операції обліковуються відповідно до їх сутності, а не лише виходячи з юридичної форми;</w:t>
      </w:r>
    </w:p>
    <w:p w:rsidR="00397955" w:rsidRPr="000572AB" w:rsidRDefault="00397955" w:rsidP="00D542E2">
      <w:pPr>
        <w:pStyle w:val="ae"/>
        <w:numPr>
          <w:ilvl w:val="0"/>
          <w:numId w:val="3"/>
        </w:numPr>
        <w:contextualSpacing/>
        <w:jc w:val="both"/>
        <w:rPr>
          <w:rFonts w:ascii="Times New Roman" w:hAnsi="Times New Roman"/>
          <w:sz w:val="20"/>
          <w:szCs w:val="20"/>
        </w:rPr>
      </w:pPr>
      <w:r w:rsidRPr="000572AB">
        <w:rPr>
          <w:rFonts w:ascii="Times New Roman" w:hAnsi="Times New Roman"/>
          <w:sz w:val="20"/>
          <w:szCs w:val="20"/>
        </w:rPr>
        <w:t xml:space="preserve">єдиний грошовий вимірник - вимірювання та узагальнення всіх господарських операцій </w:t>
      </w:r>
      <w:r w:rsidR="009872D7" w:rsidRPr="000572AB">
        <w:rPr>
          <w:rFonts w:ascii="Times New Roman" w:hAnsi="Times New Roman"/>
          <w:sz w:val="20"/>
          <w:szCs w:val="20"/>
        </w:rPr>
        <w:t>Товариства</w:t>
      </w:r>
      <w:r w:rsidRPr="000572AB">
        <w:rPr>
          <w:rFonts w:ascii="Times New Roman" w:hAnsi="Times New Roman"/>
          <w:sz w:val="20"/>
          <w:szCs w:val="20"/>
        </w:rPr>
        <w:t xml:space="preserve"> у його фінансовій звітності здійснюються в єдиній грошовій одиниці;</w:t>
      </w:r>
    </w:p>
    <w:p w:rsidR="009872D7" w:rsidRPr="000572AB" w:rsidRDefault="009872D7" w:rsidP="00D542E2">
      <w:pPr>
        <w:pStyle w:val="ae"/>
        <w:numPr>
          <w:ilvl w:val="0"/>
          <w:numId w:val="3"/>
        </w:numPr>
        <w:contextualSpacing/>
        <w:jc w:val="both"/>
        <w:rPr>
          <w:rFonts w:ascii="Times New Roman" w:hAnsi="Times New Roman"/>
          <w:sz w:val="20"/>
          <w:szCs w:val="20"/>
        </w:rPr>
      </w:pPr>
      <w:r w:rsidRPr="000572AB">
        <w:rPr>
          <w:rFonts w:ascii="Times New Roman" w:hAnsi="Times New Roman"/>
          <w:sz w:val="20"/>
          <w:szCs w:val="20"/>
        </w:rPr>
        <w:t>зрозумілості;</w:t>
      </w:r>
    </w:p>
    <w:p w:rsidR="009872D7" w:rsidRPr="000572AB" w:rsidRDefault="009872D7" w:rsidP="00D542E2">
      <w:pPr>
        <w:pStyle w:val="ae"/>
        <w:numPr>
          <w:ilvl w:val="0"/>
          <w:numId w:val="3"/>
        </w:numPr>
        <w:contextualSpacing/>
        <w:jc w:val="both"/>
        <w:rPr>
          <w:rFonts w:ascii="Times New Roman" w:hAnsi="Times New Roman"/>
          <w:sz w:val="20"/>
          <w:szCs w:val="20"/>
        </w:rPr>
      </w:pPr>
      <w:r w:rsidRPr="000572AB">
        <w:rPr>
          <w:rFonts w:ascii="Times New Roman" w:hAnsi="Times New Roman"/>
          <w:sz w:val="20"/>
          <w:szCs w:val="20"/>
        </w:rPr>
        <w:t>доречності (суттєвості);</w:t>
      </w:r>
    </w:p>
    <w:p w:rsidR="009872D7" w:rsidRPr="000572AB" w:rsidRDefault="009872D7" w:rsidP="00D542E2">
      <w:pPr>
        <w:pStyle w:val="ae"/>
        <w:numPr>
          <w:ilvl w:val="0"/>
          <w:numId w:val="3"/>
        </w:numPr>
        <w:contextualSpacing/>
        <w:jc w:val="both"/>
        <w:rPr>
          <w:rFonts w:ascii="Times New Roman" w:hAnsi="Times New Roman"/>
          <w:sz w:val="20"/>
          <w:szCs w:val="20"/>
        </w:rPr>
      </w:pPr>
      <w:r w:rsidRPr="000572AB">
        <w:rPr>
          <w:rFonts w:ascii="Times New Roman" w:hAnsi="Times New Roman"/>
          <w:sz w:val="20"/>
          <w:szCs w:val="20"/>
        </w:rPr>
        <w:t>зіставності, тощо.</w:t>
      </w:r>
    </w:p>
    <w:p w:rsidR="003D5FDB" w:rsidRPr="000572AB" w:rsidRDefault="003D5FDB" w:rsidP="00D542E2">
      <w:pPr>
        <w:spacing w:after="0" w:line="240" w:lineRule="auto"/>
        <w:contextualSpacing/>
        <w:jc w:val="both"/>
        <w:rPr>
          <w:rFonts w:ascii="Times New Roman" w:hAnsi="Times New Roman"/>
          <w:sz w:val="20"/>
          <w:szCs w:val="20"/>
        </w:rPr>
      </w:pPr>
    </w:p>
    <w:p w:rsidR="000C7646" w:rsidRPr="000572AB" w:rsidRDefault="000C7646" w:rsidP="00D542E2">
      <w:pPr>
        <w:spacing w:after="0" w:line="240" w:lineRule="auto"/>
        <w:contextualSpacing/>
        <w:jc w:val="both"/>
        <w:rPr>
          <w:rFonts w:ascii="Times New Roman" w:hAnsi="Times New Roman"/>
          <w:sz w:val="20"/>
          <w:szCs w:val="20"/>
        </w:rPr>
      </w:pPr>
      <w:r w:rsidRPr="000572AB">
        <w:rPr>
          <w:rFonts w:ascii="Times New Roman" w:hAnsi="Times New Roman"/>
          <w:sz w:val="20"/>
          <w:szCs w:val="20"/>
        </w:rPr>
        <w:t xml:space="preserve">Склад фінансової звітності: </w:t>
      </w:r>
      <w:r w:rsidRPr="000572AB">
        <w:rPr>
          <w:rFonts w:ascii="Times New Roman" w:hAnsi="Times New Roman"/>
          <w:sz w:val="20"/>
          <w:szCs w:val="20"/>
        </w:rPr>
        <w:tab/>
      </w:r>
    </w:p>
    <w:p w:rsidR="000C7646" w:rsidRPr="000572AB" w:rsidRDefault="000C7646"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 Баланс (Звіт про фінансовий стан) станом на 31.12.</w:t>
      </w:r>
      <w:r w:rsidR="00CC3E2F" w:rsidRPr="000572AB">
        <w:rPr>
          <w:rFonts w:ascii="Times New Roman" w:hAnsi="Times New Roman"/>
          <w:sz w:val="20"/>
          <w:szCs w:val="20"/>
        </w:rPr>
        <w:t>201</w:t>
      </w:r>
      <w:r w:rsidR="00383D01" w:rsidRPr="000572AB">
        <w:rPr>
          <w:rFonts w:ascii="Times New Roman" w:hAnsi="Times New Roman"/>
          <w:sz w:val="20"/>
          <w:szCs w:val="20"/>
        </w:rPr>
        <w:t>7</w:t>
      </w:r>
      <w:r w:rsidRPr="000572AB">
        <w:rPr>
          <w:rFonts w:ascii="Times New Roman" w:hAnsi="Times New Roman"/>
          <w:sz w:val="20"/>
          <w:szCs w:val="20"/>
        </w:rPr>
        <w:t xml:space="preserve"> р.,  </w:t>
      </w:r>
    </w:p>
    <w:p w:rsidR="000C7646" w:rsidRPr="000572AB" w:rsidRDefault="000C7646"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 xml:space="preserve">- Звіт про фінансові результати (Звіт про сукупний дохід) за </w:t>
      </w:r>
      <w:r w:rsidR="00FE4FD0" w:rsidRPr="000572AB">
        <w:rPr>
          <w:rFonts w:ascii="Times New Roman" w:hAnsi="Times New Roman"/>
          <w:sz w:val="20"/>
          <w:szCs w:val="20"/>
        </w:rPr>
        <w:t>201</w:t>
      </w:r>
      <w:r w:rsidR="00383D01" w:rsidRPr="000572AB">
        <w:rPr>
          <w:rFonts w:ascii="Times New Roman" w:hAnsi="Times New Roman"/>
          <w:sz w:val="20"/>
          <w:szCs w:val="20"/>
        </w:rPr>
        <w:t>7</w:t>
      </w:r>
      <w:r w:rsidRPr="000572AB">
        <w:rPr>
          <w:rFonts w:ascii="Times New Roman" w:hAnsi="Times New Roman"/>
          <w:sz w:val="20"/>
          <w:szCs w:val="20"/>
        </w:rPr>
        <w:t xml:space="preserve"> р.,  </w:t>
      </w:r>
    </w:p>
    <w:p w:rsidR="000C7646" w:rsidRPr="000572AB" w:rsidRDefault="000C7646"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 xml:space="preserve">- Звіт про рух грошових коштів (за прямим методом) за </w:t>
      </w:r>
      <w:r w:rsidR="00CC3E2F" w:rsidRPr="000572AB">
        <w:rPr>
          <w:rFonts w:ascii="Times New Roman" w:hAnsi="Times New Roman"/>
          <w:sz w:val="20"/>
          <w:szCs w:val="20"/>
        </w:rPr>
        <w:t>201</w:t>
      </w:r>
      <w:r w:rsidR="00383D01" w:rsidRPr="000572AB">
        <w:rPr>
          <w:rFonts w:ascii="Times New Roman" w:hAnsi="Times New Roman"/>
          <w:sz w:val="20"/>
          <w:szCs w:val="20"/>
        </w:rPr>
        <w:t>7</w:t>
      </w:r>
      <w:r w:rsidRPr="000572AB">
        <w:rPr>
          <w:rFonts w:ascii="Times New Roman" w:hAnsi="Times New Roman"/>
          <w:sz w:val="20"/>
          <w:szCs w:val="20"/>
        </w:rPr>
        <w:t xml:space="preserve"> р.,   </w:t>
      </w:r>
    </w:p>
    <w:p w:rsidR="00CC3E2F" w:rsidRPr="000572AB" w:rsidRDefault="000C7646" w:rsidP="00D542E2">
      <w:pPr>
        <w:tabs>
          <w:tab w:val="center" w:pos="5031"/>
        </w:tabs>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 xml:space="preserve">- Звіт про власний капітал за </w:t>
      </w:r>
      <w:r w:rsidR="00FE4FD0" w:rsidRPr="000572AB">
        <w:rPr>
          <w:rFonts w:ascii="Times New Roman" w:hAnsi="Times New Roman"/>
          <w:sz w:val="20"/>
          <w:szCs w:val="20"/>
        </w:rPr>
        <w:t>201</w:t>
      </w:r>
      <w:r w:rsidR="00383D01" w:rsidRPr="000572AB">
        <w:rPr>
          <w:rFonts w:ascii="Times New Roman" w:hAnsi="Times New Roman"/>
          <w:sz w:val="20"/>
          <w:szCs w:val="20"/>
        </w:rPr>
        <w:t>7</w:t>
      </w:r>
      <w:r w:rsidRPr="000572AB">
        <w:rPr>
          <w:rFonts w:ascii="Times New Roman" w:hAnsi="Times New Roman"/>
          <w:sz w:val="20"/>
          <w:szCs w:val="20"/>
        </w:rPr>
        <w:t xml:space="preserve"> р.</w:t>
      </w:r>
      <w:r w:rsidR="00CC3E2F" w:rsidRPr="000572AB">
        <w:rPr>
          <w:rFonts w:ascii="Times New Roman" w:hAnsi="Times New Roman"/>
          <w:sz w:val="20"/>
          <w:szCs w:val="20"/>
        </w:rPr>
        <w:t>,</w:t>
      </w:r>
    </w:p>
    <w:p w:rsidR="000C7646" w:rsidRPr="000572AB" w:rsidRDefault="00CC3E2F" w:rsidP="00D542E2">
      <w:pPr>
        <w:tabs>
          <w:tab w:val="center" w:pos="5031"/>
        </w:tabs>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 Примітки до річної фінансової звітності.</w:t>
      </w:r>
    </w:p>
    <w:p w:rsidR="00434BF7" w:rsidRPr="000572AB" w:rsidRDefault="00434BF7" w:rsidP="00D542E2">
      <w:pPr>
        <w:tabs>
          <w:tab w:val="center" w:pos="5031"/>
        </w:tabs>
        <w:spacing w:after="0" w:line="240" w:lineRule="auto"/>
        <w:ind w:firstLine="709"/>
        <w:contextualSpacing/>
        <w:jc w:val="both"/>
        <w:rPr>
          <w:rFonts w:ascii="Times New Roman" w:hAnsi="Times New Roman"/>
          <w:sz w:val="20"/>
          <w:szCs w:val="20"/>
        </w:rPr>
      </w:pPr>
    </w:p>
    <w:p w:rsidR="009450A0" w:rsidRPr="000572AB" w:rsidRDefault="009450A0"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Товариство веде бухгалтерський облік у відповідності до вимог чинного законодавства України, Закону України «Про бухгалтерський облік та фінансову звітність», Міжнародних стандартів фінансової звітності, Статуту Тов</w:t>
      </w:r>
      <w:r w:rsidR="004C396C" w:rsidRPr="000572AB">
        <w:rPr>
          <w:rFonts w:ascii="Times New Roman" w:hAnsi="Times New Roman"/>
          <w:sz w:val="20"/>
          <w:szCs w:val="20"/>
        </w:rPr>
        <w:t>ариства та Облікової політики.</w:t>
      </w:r>
    </w:p>
    <w:p w:rsidR="009450A0" w:rsidRPr="000572AB" w:rsidRDefault="004C396C"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Протягом 201</w:t>
      </w:r>
      <w:r w:rsidR="00383D01" w:rsidRPr="000572AB">
        <w:rPr>
          <w:rFonts w:ascii="Times New Roman" w:hAnsi="Times New Roman"/>
          <w:sz w:val="20"/>
          <w:szCs w:val="20"/>
        </w:rPr>
        <w:t>7</w:t>
      </w:r>
      <w:r w:rsidR="009450A0" w:rsidRPr="000572AB">
        <w:rPr>
          <w:rFonts w:ascii="Times New Roman" w:hAnsi="Times New Roman"/>
          <w:sz w:val="20"/>
          <w:szCs w:val="20"/>
        </w:rPr>
        <w:t xml:space="preserve"> року облікова політика не змінювалась та застосовувалась послідовно для подібних операцій, інших подій.</w:t>
      </w:r>
    </w:p>
    <w:p w:rsidR="009450A0" w:rsidRPr="000572AB" w:rsidRDefault="009450A0"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Облікова політика Товариства – це сукупність принципів,</w:t>
      </w:r>
      <w:r w:rsidR="00D957B1" w:rsidRPr="000572AB">
        <w:rPr>
          <w:rFonts w:ascii="Times New Roman" w:hAnsi="Times New Roman"/>
          <w:sz w:val="20"/>
          <w:szCs w:val="20"/>
        </w:rPr>
        <w:t xml:space="preserve"> методів і процедур, що використовуються Товариством для ведення </w:t>
      </w:r>
      <w:r w:rsidRPr="000572AB">
        <w:rPr>
          <w:rFonts w:ascii="Times New Roman" w:hAnsi="Times New Roman"/>
          <w:sz w:val="20"/>
          <w:szCs w:val="20"/>
        </w:rPr>
        <w:t xml:space="preserve"> бухгалтерського обліку та конкретні принципи, основи та правила, які застосовує Товариство при складанні та поданні фінансової звітності. Облікова політика базується на чинному законодавстві України, нормативних документах Національної комісії, що здійснює державне регулювання у сфері ринків фінансових послуг, Міжнародних стандартах фінансової звітності та рішеннях </w:t>
      </w:r>
      <w:r w:rsidR="002E184F" w:rsidRPr="000572AB">
        <w:rPr>
          <w:rFonts w:ascii="Times New Roman" w:hAnsi="Times New Roman"/>
          <w:sz w:val="20"/>
          <w:szCs w:val="20"/>
        </w:rPr>
        <w:t>Керівництв</w:t>
      </w:r>
      <w:r w:rsidRPr="000572AB">
        <w:rPr>
          <w:rFonts w:ascii="Times New Roman" w:hAnsi="Times New Roman"/>
          <w:sz w:val="20"/>
          <w:szCs w:val="20"/>
        </w:rPr>
        <w:t>а Товариств</w:t>
      </w:r>
      <w:r w:rsidR="00365A63" w:rsidRPr="000572AB">
        <w:rPr>
          <w:rFonts w:ascii="Times New Roman" w:hAnsi="Times New Roman"/>
          <w:sz w:val="20"/>
          <w:szCs w:val="20"/>
        </w:rPr>
        <w:t>а</w:t>
      </w:r>
      <w:r w:rsidRPr="000572AB">
        <w:rPr>
          <w:rFonts w:ascii="Times New Roman" w:hAnsi="Times New Roman"/>
          <w:sz w:val="20"/>
          <w:szCs w:val="20"/>
        </w:rPr>
        <w:t>.</w:t>
      </w:r>
    </w:p>
    <w:p w:rsidR="009450A0" w:rsidRPr="000572AB" w:rsidRDefault="009450A0" w:rsidP="00D542E2">
      <w:pPr>
        <w:spacing w:after="0" w:line="240" w:lineRule="auto"/>
        <w:ind w:firstLine="709"/>
        <w:contextualSpacing/>
        <w:jc w:val="both"/>
        <w:rPr>
          <w:rFonts w:ascii="Times New Roman" w:hAnsi="Times New Roman"/>
          <w:sz w:val="20"/>
          <w:szCs w:val="20"/>
          <w:lang w:val="ru-RU"/>
        </w:rPr>
      </w:pPr>
      <w:r w:rsidRPr="000572AB">
        <w:rPr>
          <w:rFonts w:ascii="Times New Roman" w:hAnsi="Times New Roman"/>
          <w:sz w:val="20"/>
          <w:szCs w:val="20"/>
        </w:rPr>
        <w:t xml:space="preserve">Товариство веде бухгалтерський облік та складає фінансову звітність у національній грошовій одиниці України – гривнях. </w:t>
      </w:r>
    </w:p>
    <w:p w:rsidR="00D638FE" w:rsidRPr="000572AB" w:rsidRDefault="00D638FE" w:rsidP="00D542E2">
      <w:pPr>
        <w:shd w:val="clear" w:color="auto" w:fill="FFFFFF"/>
        <w:spacing w:after="0" w:line="240" w:lineRule="auto"/>
        <w:ind w:firstLine="709"/>
        <w:jc w:val="center"/>
        <w:rPr>
          <w:rFonts w:ascii="Times New Roman" w:hAnsi="Times New Roman"/>
          <w:b/>
          <w:bCs/>
          <w:spacing w:val="2"/>
          <w:sz w:val="20"/>
          <w:szCs w:val="20"/>
          <w:lang w:val="ru-RU"/>
        </w:rPr>
      </w:pPr>
    </w:p>
    <w:p w:rsidR="00D638FE" w:rsidRPr="000572AB" w:rsidRDefault="00D638FE" w:rsidP="00D542E2">
      <w:pPr>
        <w:shd w:val="clear" w:color="auto" w:fill="FFFFFF"/>
        <w:spacing w:after="0" w:line="240" w:lineRule="auto"/>
        <w:ind w:firstLine="709"/>
        <w:jc w:val="center"/>
        <w:rPr>
          <w:rFonts w:ascii="Times New Roman" w:hAnsi="Times New Roman"/>
          <w:b/>
          <w:bCs/>
          <w:spacing w:val="2"/>
          <w:sz w:val="20"/>
          <w:szCs w:val="20"/>
        </w:rPr>
      </w:pPr>
      <w:r w:rsidRPr="000572AB">
        <w:rPr>
          <w:rFonts w:ascii="Times New Roman" w:hAnsi="Times New Roman"/>
          <w:b/>
          <w:bCs/>
          <w:spacing w:val="2"/>
          <w:sz w:val="20"/>
          <w:szCs w:val="20"/>
        </w:rPr>
        <w:t>Інформація про зміни в облікових політиках</w:t>
      </w:r>
    </w:p>
    <w:p w:rsidR="00D638FE" w:rsidRPr="000572AB" w:rsidRDefault="00D638FE"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572AB">
        <w:rPr>
          <w:rFonts w:ascii="Times New Roman" w:hAnsi="Times New Roman"/>
          <w:sz w:val="20"/>
          <w:szCs w:val="20"/>
        </w:rPr>
        <w:t>Товариство обирає та застосовує свої облікові політики послідовно для подібних операції, інших події або умов, якщо МСФЗ конкретно не вимагає або не дозволяє визначення категорії статей, для яких інші політики можуть бути доречними.</w:t>
      </w:r>
    </w:p>
    <w:p w:rsidR="00434BF7" w:rsidRPr="000572AB" w:rsidRDefault="00434BF7"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p>
    <w:p w:rsidR="00637BA4" w:rsidRPr="000572AB" w:rsidRDefault="00122FFB" w:rsidP="00D542E2">
      <w:pPr>
        <w:pStyle w:val="a"/>
        <w:rPr>
          <w:sz w:val="20"/>
          <w:szCs w:val="20"/>
        </w:rPr>
      </w:pPr>
      <w:r w:rsidRPr="000572AB">
        <w:rPr>
          <w:sz w:val="20"/>
          <w:szCs w:val="20"/>
        </w:rPr>
        <w:t xml:space="preserve"> </w:t>
      </w:r>
      <w:r w:rsidR="00637BA4" w:rsidRPr="000572AB">
        <w:rPr>
          <w:sz w:val="20"/>
          <w:szCs w:val="20"/>
        </w:rPr>
        <w:t>Основа складання фінансової звітності</w:t>
      </w:r>
    </w:p>
    <w:p w:rsidR="00637BA4" w:rsidRPr="000572AB" w:rsidRDefault="00434BF7" w:rsidP="00D542E2">
      <w:pPr>
        <w:spacing w:after="0" w:line="240" w:lineRule="auto"/>
        <w:ind w:firstLine="709"/>
        <w:contextualSpacing/>
        <w:jc w:val="both"/>
        <w:rPr>
          <w:rFonts w:ascii="Times New Roman" w:hAnsi="Times New Roman"/>
          <w:b/>
          <w:sz w:val="20"/>
          <w:szCs w:val="20"/>
        </w:rPr>
      </w:pPr>
      <w:r w:rsidRPr="000572AB">
        <w:rPr>
          <w:rFonts w:ascii="Times New Roman" w:hAnsi="Times New Roman"/>
          <w:b/>
          <w:sz w:val="20"/>
          <w:szCs w:val="20"/>
        </w:rPr>
        <w:t>6</w:t>
      </w:r>
      <w:r w:rsidR="00637BA4" w:rsidRPr="000572AB">
        <w:rPr>
          <w:rFonts w:ascii="Times New Roman" w:hAnsi="Times New Roman"/>
          <w:b/>
          <w:sz w:val="20"/>
          <w:szCs w:val="20"/>
        </w:rPr>
        <w:t>.1. Використання оцінок і припущень</w:t>
      </w:r>
    </w:p>
    <w:p w:rsidR="00637BA4" w:rsidRPr="000572AB" w:rsidRDefault="00637BA4" w:rsidP="00D542E2">
      <w:pPr>
        <w:pStyle w:val="a1"/>
        <w:spacing w:before="0" w:after="0"/>
        <w:ind w:firstLine="709"/>
        <w:contextualSpacing/>
        <w:jc w:val="both"/>
        <w:rPr>
          <w:b w:val="0"/>
          <w:sz w:val="20"/>
          <w:szCs w:val="20"/>
          <w:lang w:val="uk-UA"/>
        </w:rPr>
      </w:pPr>
      <w:r w:rsidRPr="000572AB">
        <w:rPr>
          <w:b w:val="0"/>
          <w:sz w:val="20"/>
          <w:szCs w:val="20"/>
          <w:lang w:val="uk-UA"/>
        </w:rPr>
        <w:t xml:space="preserve">Підготовка фінансової звітності вимагає від </w:t>
      </w:r>
      <w:r w:rsidR="002E184F" w:rsidRPr="000572AB">
        <w:rPr>
          <w:b w:val="0"/>
          <w:sz w:val="20"/>
          <w:szCs w:val="20"/>
          <w:lang w:val="uk-UA"/>
        </w:rPr>
        <w:t>Керівництв</w:t>
      </w:r>
      <w:r w:rsidRPr="000572AB">
        <w:rPr>
          <w:b w:val="0"/>
          <w:sz w:val="20"/>
          <w:szCs w:val="20"/>
          <w:lang w:val="uk-UA"/>
        </w:rPr>
        <w:t>а оцінок і припущень, які впливають на відображення в звітності сум активів і зобов’язань і на розкриття інформації про потенційні активи і зобов’язання на дату складання бухгалтерського балансу. Фактичні результати можуть відрізнятися від поточних оцінок. Ці оцінки періодично переглядаються, і у разі потреби коригувань, такі зміни відображуються у складі фінансових результатів за період, коли про них стає відомо.</w:t>
      </w:r>
    </w:p>
    <w:p w:rsidR="009633EA" w:rsidRPr="000572AB" w:rsidRDefault="009633EA" w:rsidP="00D542E2">
      <w:pPr>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572AB">
        <w:rPr>
          <w:rFonts w:ascii="Times New Roman" w:eastAsia="Times New Roman" w:hAnsi="Times New Roman"/>
          <w:sz w:val="20"/>
          <w:szCs w:val="20"/>
          <w:lang w:eastAsia="ru-RU"/>
        </w:rPr>
        <w:t>Товариство здійснює виключно безперервні оцінки справедливої вартості активів та зобов’язань, тобто такі оцінки, які вимагаються МСБО 39 та МСФЗ 13 у звіті про фінансовий стан на кінець кожного звітного періоду.</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0"/>
        <w:gridCol w:w="3519"/>
        <w:gridCol w:w="1499"/>
        <w:gridCol w:w="2552"/>
      </w:tblGrid>
      <w:tr w:rsidR="003A1974" w:rsidRPr="000572AB" w:rsidTr="003A1974">
        <w:tc>
          <w:tcPr>
            <w:tcW w:w="2179" w:type="dxa"/>
            <w:tcBorders>
              <w:top w:val="single" w:sz="4" w:space="0" w:color="auto"/>
              <w:left w:val="single" w:sz="4" w:space="0" w:color="auto"/>
              <w:bottom w:val="single" w:sz="4" w:space="0" w:color="auto"/>
              <w:right w:val="single" w:sz="4" w:space="0" w:color="auto"/>
            </w:tcBorders>
            <w:hideMark/>
          </w:tcPr>
          <w:p w:rsidR="003A1974" w:rsidRPr="000572AB" w:rsidRDefault="003A1974" w:rsidP="00D542E2">
            <w:pPr>
              <w:autoSpaceDE w:val="0"/>
              <w:autoSpaceDN w:val="0"/>
              <w:adjustRightInd w:val="0"/>
              <w:spacing w:after="0" w:line="240" w:lineRule="auto"/>
              <w:jc w:val="center"/>
              <w:rPr>
                <w:rFonts w:ascii="Times New Roman" w:eastAsia="Times New Roman" w:hAnsi="Times New Roman"/>
                <w:sz w:val="20"/>
                <w:szCs w:val="20"/>
              </w:rPr>
            </w:pPr>
            <w:r w:rsidRPr="000572AB">
              <w:rPr>
                <w:rFonts w:ascii="Times New Roman" w:hAnsi="Times New Roman"/>
                <w:bCs/>
                <w:sz w:val="20"/>
                <w:szCs w:val="20"/>
                <w:lang w:eastAsia="uk-UA"/>
              </w:rPr>
              <w:t>Класи активів та зобов’язань, оцінених за справедливою вартістю</w:t>
            </w:r>
          </w:p>
        </w:tc>
        <w:tc>
          <w:tcPr>
            <w:tcW w:w="3518" w:type="dxa"/>
            <w:tcBorders>
              <w:top w:val="single" w:sz="4" w:space="0" w:color="auto"/>
              <w:left w:val="single" w:sz="4" w:space="0" w:color="auto"/>
              <w:bottom w:val="single" w:sz="4" w:space="0" w:color="auto"/>
              <w:right w:val="single" w:sz="4" w:space="0" w:color="auto"/>
            </w:tcBorders>
          </w:tcPr>
          <w:p w:rsidR="003A1974" w:rsidRPr="000572AB" w:rsidRDefault="003A1974" w:rsidP="00D542E2">
            <w:pPr>
              <w:autoSpaceDE w:val="0"/>
              <w:autoSpaceDN w:val="0"/>
              <w:adjustRightInd w:val="0"/>
              <w:spacing w:after="0" w:line="240" w:lineRule="auto"/>
              <w:jc w:val="center"/>
              <w:rPr>
                <w:rFonts w:ascii="Times New Roman" w:hAnsi="Times New Roman"/>
                <w:bCs/>
                <w:sz w:val="20"/>
                <w:szCs w:val="20"/>
                <w:lang w:eastAsia="uk-UA"/>
              </w:rPr>
            </w:pPr>
          </w:p>
          <w:p w:rsidR="003A1974" w:rsidRPr="000572AB" w:rsidRDefault="003A1974" w:rsidP="00D542E2">
            <w:pPr>
              <w:autoSpaceDE w:val="0"/>
              <w:autoSpaceDN w:val="0"/>
              <w:adjustRightInd w:val="0"/>
              <w:spacing w:after="0" w:line="240" w:lineRule="auto"/>
              <w:jc w:val="center"/>
              <w:rPr>
                <w:rFonts w:ascii="Times New Roman" w:hAnsi="Times New Roman"/>
                <w:bCs/>
                <w:sz w:val="20"/>
                <w:szCs w:val="20"/>
                <w:lang w:eastAsia="uk-UA"/>
              </w:rPr>
            </w:pPr>
            <w:r w:rsidRPr="000572AB">
              <w:rPr>
                <w:rFonts w:ascii="Times New Roman" w:hAnsi="Times New Roman"/>
                <w:bCs/>
                <w:sz w:val="20"/>
                <w:szCs w:val="20"/>
                <w:lang w:eastAsia="uk-UA"/>
              </w:rPr>
              <w:t>Методики оцінювання</w:t>
            </w:r>
          </w:p>
        </w:tc>
        <w:tc>
          <w:tcPr>
            <w:tcW w:w="1499" w:type="dxa"/>
            <w:tcBorders>
              <w:top w:val="single" w:sz="4" w:space="0" w:color="auto"/>
              <w:left w:val="single" w:sz="4" w:space="0" w:color="auto"/>
              <w:bottom w:val="single" w:sz="4" w:space="0" w:color="auto"/>
              <w:right w:val="single" w:sz="4" w:space="0" w:color="auto"/>
            </w:tcBorders>
            <w:hideMark/>
          </w:tcPr>
          <w:p w:rsidR="003A1974" w:rsidRPr="000572AB" w:rsidRDefault="003A1974" w:rsidP="00D542E2">
            <w:pPr>
              <w:autoSpaceDE w:val="0"/>
              <w:autoSpaceDN w:val="0"/>
              <w:adjustRightInd w:val="0"/>
              <w:spacing w:after="0" w:line="240" w:lineRule="auto"/>
              <w:jc w:val="center"/>
              <w:rPr>
                <w:rFonts w:ascii="Times New Roman" w:hAnsi="Times New Roman"/>
                <w:bCs/>
                <w:sz w:val="20"/>
                <w:szCs w:val="20"/>
                <w:lang w:eastAsia="uk-UA"/>
              </w:rPr>
            </w:pPr>
            <w:r w:rsidRPr="000572AB">
              <w:rPr>
                <w:rFonts w:ascii="Times New Roman" w:hAnsi="Times New Roman"/>
                <w:bCs/>
                <w:sz w:val="20"/>
                <w:szCs w:val="20"/>
                <w:lang w:eastAsia="uk-UA"/>
              </w:rPr>
              <w:t>Метод оцінки (ринковий, дохідний, витратний)</w:t>
            </w:r>
          </w:p>
        </w:tc>
        <w:tc>
          <w:tcPr>
            <w:tcW w:w="2551" w:type="dxa"/>
            <w:tcBorders>
              <w:top w:val="single" w:sz="4" w:space="0" w:color="auto"/>
              <w:left w:val="single" w:sz="4" w:space="0" w:color="auto"/>
              <w:bottom w:val="single" w:sz="4" w:space="0" w:color="auto"/>
              <w:right w:val="single" w:sz="4" w:space="0" w:color="auto"/>
            </w:tcBorders>
          </w:tcPr>
          <w:p w:rsidR="003A1974" w:rsidRPr="000572AB" w:rsidRDefault="003A1974" w:rsidP="00D542E2">
            <w:pPr>
              <w:autoSpaceDE w:val="0"/>
              <w:autoSpaceDN w:val="0"/>
              <w:adjustRightInd w:val="0"/>
              <w:spacing w:after="0" w:line="240" w:lineRule="auto"/>
              <w:jc w:val="center"/>
              <w:rPr>
                <w:rFonts w:ascii="Times New Roman" w:hAnsi="Times New Roman"/>
                <w:bCs/>
                <w:sz w:val="20"/>
                <w:szCs w:val="20"/>
                <w:lang w:eastAsia="uk-UA"/>
              </w:rPr>
            </w:pPr>
          </w:p>
          <w:p w:rsidR="003A1974" w:rsidRPr="000572AB" w:rsidRDefault="003A1974" w:rsidP="00D542E2">
            <w:pPr>
              <w:autoSpaceDE w:val="0"/>
              <w:autoSpaceDN w:val="0"/>
              <w:adjustRightInd w:val="0"/>
              <w:spacing w:after="0" w:line="240" w:lineRule="auto"/>
              <w:jc w:val="center"/>
              <w:rPr>
                <w:rFonts w:ascii="Times New Roman" w:hAnsi="Times New Roman"/>
                <w:bCs/>
                <w:sz w:val="20"/>
                <w:szCs w:val="20"/>
                <w:lang w:eastAsia="uk-UA"/>
              </w:rPr>
            </w:pPr>
            <w:r w:rsidRPr="000572AB">
              <w:rPr>
                <w:rFonts w:ascii="Times New Roman" w:hAnsi="Times New Roman"/>
                <w:bCs/>
                <w:sz w:val="20"/>
                <w:szCs w:val="20"/>
                <w:lang w:eastAsia="uk-UA"/>
              </w:rPr>
              <w:t>Вихідні дані</w:t>
            </w:r>
          </w:p>
        </w:tc>
      </w:tr>
      <w:tr w:rsidR="003A1974" w:rsidRPr="000572AB" w:rsidTr="003A1974">
        <w:tc>
          <w:tcPr>
            <w:tcW w:w="2179" w:type="dxa"/>
            <w:tcBorders>
              <w:top w:val="single" w:sz="4" w:space="0" w:color="auto"/>
              <w:left w:val="single" w:sz="4" w:space="0" w:color="auto"/>
              <w:bottom w:val="single" w:sz="4" w:space="0" w:color="auto"/>
              <w:right w:val="single" w:sz="4" w:space="0" w:color="auto"/>
            </w:tcBorders>
            <w:hideMark/>
          </w:tcPr>
          <w:p w:rsidR="003A1974" w:rsidRPr="000572AB" w:rsidRDefault="003A1974" w:rsidP="00D542E2">
            <w:pPr>
              <w:autoSpaceDE w:val="0"/>
              <w:autoSpaceDN w:val="0"/>
              <w:adjustRightInd w:val="0"/>
              <w:spacing w:after="0" w:line="240" w:lineRule="auto"/>
              <w:rPr>
                <w:rFonts w:ascii="Times New Roman" w:eastAsia="Times New Roman" w:hAnsi="Times New Roman"/>
                <w:sz w:val="20"/>
                <w:szCs w:val="20"/>
              </w:rPr>
            </w:pPr>
            <w:r w:rsidRPr="000572AB">
              <w:rPr>
                <w:rFonts w:ascii="Times New Roman" w:hAnsi="Times New Roman"/>
                <w:sz w:val="20"/>
                <w:szCs w:val="20"/>
                <w:lang w:eastAsia="uk-UA"/>
              </w:rPr>
              <w:t>Грошові кошти та їх еквіваленти</w:t>
            </w:r>
          </w:p>
        </w:tc>
        <w:tc>
          <w:tcPr>
            <w:tcW w:w="3518" w:type="dxa"/>
            <w:tcBorders>
              <w:top w:val="single" w:sz="4" w:space="0" w:color="auto"/>
              <w:left w:val="single" w:sz="4" w:space="0" w:color="auto"/>
              <w:bottom w:val="single" w:sz="4" w:space="0" w:color="auto"/>
              <w:right w:val="single" w:sz="4" w:space="0" w:color="auto"/>
            </w:tcBorders>
            <w:hideMark/>
          </w:tcPr>
          <w:p w:rsidR="003A1974" w:rsidRPr="000572AB" w:rsidRDefault="003A1974" w:rsidP="00D542E2">
            <w:pPr>
              <w:autoSpaceDE w:val="0"/>
              <w:autoSpaceDN w:val="0"/>
              <w:adjustRightInd w:val="0"/>
              <w:spacing w:after="0" w:line="240" w:lineRule="auto"/>
              <w:rPr>
                <w:rFonts w:ascii="Times New Roman" w:eastAsia="Times New Roman" w:hAnsi="Times New Roman"/>
                <w:sz w:val="20"/>
                <w:szCs w:val="20"/>
              </w:rPr>
            </w:pPr>
            <w:r w:rsidRPr="000572AB">
              <w:rPr>
                <w:rFonts w:ascii="Times New Roman" w:hAnsi="Times New Roman"/>
                <w:sz w:val="20"/>
                <w:szCs w:val="20"/>
                <w:lang w:eastAsia="uk-UA"/>
              </w:rPr>
              <w:t>Первісна та подальша оцінка грошових коштів та їх еквівалентів здійснюється за справедливою вартістю, яка дорівнює їх номінальній вартості</w:t>
            </w:r>
          </w:p>
        </w:tc>
        <w:tc>
          <w:tcPr>
            <w:tcW w:w="1499" w:type="dxa"/>
            <w:tcBorders>
              <w:top w:val="single" w:sz="4" w:space="0" w:color="auto"/>
              <w:left w:val="single" w:sz="4" w:space="0" w:color="auto"/>
              <w:bottom w:val="single" w:sz="4" w:space="0" w:color="auto"/>
              <w:right w:val="single" w:sz="4" w:space="0" w:color="auto"/>
            </w:tcBorders>
            <w:hideMark/>
          </w:tcPr>
          <w:p w:rsidR="003A1974" w:rsidRPr="000572AB" w:rsidRDefault="003A1974" w:rsidP="00D542E2">
            <w:pPr>
              <w:autoSpaceDE w:val="0"/>
              <w:autoSpaceDN w:val="0"/>
              <w:adjustRightInd w:val="0"/>
              <w:spacing w:after="0" w:line="240" w:lineRule="auto"/>
              <w:jc w:val="both"/>
              <w:rPr>
                <w:rFonts w:ascii="Times New Roman" w:eastAsia="Times New Roman" w:hAnsi="Times New Roman"/>
                <w:sz w:val="20"/>
                <w:szCs w:val="20"/>
              </w:rPr>
            </w:pPr>
            <w:r w:rsidRPr="000572AB">
              <w:rPr>
                <w:rFonts w:ascii="Times New Roman" w:hAnsi="Times New Roman"/>
                <w:sz w:val="20"/>
                <w:szCs w:val="20"/>
                <w:lang w:eastAsia="uk-UA"/>
              </w:rPr>
              <w:t>Ринковий</w:t>
            </w:r>
          </w:p>
        </w:tc>
        <w:tc>
          <w:tcPr>
            <w:tcW w:w="2551" w:type="dxa"/>
            <w:tcBorders>
              <w:top w:val="single" w:sz="4" w:space="0" w:color="auto"/>
              <w:left w:val="single" w:sz="4" w:space="0" w:color="auto"/>
              <w:bottom w:val="single" w:sz="4" w:space="0" w:color="auto"/>
              <w:right w:val="single" w:sz="4" w:space="0" w:color="auto"/>
            </w:tcBorders>
            <w:hideMark/>
          </w:tcPr>
          <w:p w:rsidR="003A1974" w:rsidRPr="000572AB" w:rsidRDefault="003A1974" w:rsidP="00D542E2">
            <w:pPr>
              <w:autoSpaceDE w:val="0"/>
              <w:autoSpaceDN w:val="0"/>
              <w:adjustRightInd w:val="0"/>
              <w:spacing w:after="0" w:line="240" w:lineRule="auto"/>
              <w:jc w:val="both"/>
              <w:rPr>
                <w:rFonts w:ascii="Times New Roman" w:eastAsia="Times New Roman" w:hAnsi="Times New Roman"/>
                <w:sz w:val="20"/>
                <w:szCs w:val="20"/>
              </w:rPr>
            </w:pPr>
            <w:r w:rsidRPr="000572AB">
              <w:rPr>
                <w:rFonts w:ascii="Times New Roman" w:hAnsi="Times New Roman"/>
                <w:sz w:val="20"/>
                <w:szCs w:val="20"/>
                <w:lang w:eastAsia="uk-UA"/>
              </w:rPr>
              <w:t>Офіційні курси НБУ</w:t>
            </w:r>
          </w:p>
        </w:tc>
      </w:tr>
      <w:tr w:rsidR="003A1974" w:rsidRPr="000572AB" w:rsidTr="003A1974">
        <w:tc>
          <w:tcPr>
            <w:tcW w:w="2179" w:type="dxa"/>
            <w:tcBorders>
              <w:top w:val="single" w:sz="4" w:space="0" w:color="auto"/>
              <w:left w:val="single" w:sz="4" w:space="0" w:color="auto"/>
              <w:bottom w:val="single" w:sz="4" w:space="0" w:color="auto"/>
              <w:right w:val="single" w:sz="4" w:space="0" w:color="auto"/>
            </w:tcBorders>
            <w:hideMark/>
          </w:tcPr>
          <w:p w:rsidR="003A1974" w:rsidRPr="000572AB" w:rsidRDefault="003A1974" w:rsidP="00D542E2">
            <w:pPr>
              <w:autoSpaceDE w:val="0"/>
              <w:autoSpaceDN w:val="0"/>
              <w:adjustRightInd w:val="0"/>
              <w:spacing w:after="0" w:line="240" w:lineRule="auto"/>
              <w:rPr>
                <w:rFonts w:ascii="Times New Roman" w:hAnsi="Times New Roman"/>
                <w:sz w:val="20"/>
                <w:szCs w:val="20"/>
                <w:lang w:eastAsia="uk-UA"/>
              </w:rPr>
            </w:pPr>
            <w:r w:rsidRPr="000572AB">
              <w:rPr>
                <w:rFonts w:ascii="Times New Roman" w:hAnsi="Times New Roman"/>
                <w:sz w:val="20"/>
                <w:szCs w:val="20"/>
                <w:lang w:eastAsia="uk-UA"/>
              </w:rPr>
              <w:t xml:space="preserve">Депозити (крім </w:t>
            </w:r>
            <w:r w:rsidRPr="000572AB">
              <w:rPr>
                <w:rFonts w:ascii="Times New Roman" w:hAnsi="Times New Roman"/>
                <w:sz w:val="20"/>
                <w:szCs w:val="20"/>
                <w:lang w:eastAsia="uk-UA"/>
              </w:rPr>
              <w:lastRenderedPageBreak/>
              <w:t>депозитів до запитання)</w:t>
            </w:r>
          </w:p>
        </w:tc>
        <w:tc>
          <w:tcPr>
            <w:tcW w:w="3518" w:type="dxa"/>
            <w:tcBorders>
              <w:top w:val="single" w:sz="4" w:space="0" w:color="auto"/>
              <w:left w:val="single" w:sz="4" w:space="0" w:color="auto"/>
              <w:bottom w:val="single" w:sz="4" w:space="0" w:color="auto"/>
              <w:right w:val="single" w:sz="4" w:space="0" w:color="auto"/>
            </w:tcBorders>
            <w:hideMark/>
          </w:tcPr>
          <w:p w:rsidR="003A1974" w:rsidRPr="000572AB" w:rsidRDefault="003A1974" w:rsidP="00D542E2">
            <w:pPr>
              <w:autoSpaceDE w:val="0"/>
              <w:autoSpaceDN w:val="0"/>
              <w:adjustRightInd w:val="0"/>
              <w:spacing w:after="0" w:line="240" w:lineRule="auto"/>
              <w:rPr>
                <w:rFonts w:ascii="Times New Roman" w:hAnsi="Times New Roman"/>
                <w:sz w:val="20"/>
                <w:szCs w:val="20"/>
                <w:lang w:eastAsia="uk-UA"/>
              </w:rPr>
            </w:pPr>
            <w:r w:rsidRPr="000572AB">
              <w:rPr>
                <w:rFonts w:ascii="Times New Roman" w:hAnsi="Times New Roman"/>
                <w:sz w:val="20"/>
                <w:szCs w:val="20"/>
                <w:lang w:eastAsia="uk-UA"/>
              </w:rPr>
              <w:lastRenderedPageBreak/>
              <w:t xml:space="preserve">Первісна оцінка депозиту </w:t>
            </w:r>
            <w:r w:rsidRPr="000572AB">
              <w:rPr>
                <w:rFonts w:ascii="Times New Roman" w:hAnsi="Times New Roman"/>
                <w:sz w:val="20"/>
                <w:szCs w:val="20"/>
                <w:lang w:eastAsia="uk-UA"/>
              </w:rPr>
              <w:lastRenderedPageBreak/>
              <w:t>здійснюється за його справедливою вартістю, яка зазвичай дорівнює його номінальній вартості. Подальша оцінка депозитів у національній валюті здійснюється за справедливою вартістю очікуваних грошових потоків</w:t>
            </w:r>
          </w:p>
        </w:tc>
        <w:tc>
          <w:tcPr>
            <w:tcW w:w="1499" w:type="dxa"/>
            <w:tcBorders>
              <w:top w:val="single" w:sz="4" w:space="0" w:color="auto"/>
              <w:left w:val="single" w:sz="4" w:space="0" w:color="auto"/>
              <w:bottom w:val="single" w:sz="4" w:space="0" w:color="auto"/>
              <w:right w:val="single" w:sz="4" w:space="0" w:color="auto"/>
            </w:tcBorders>
            <w:hideMark/>
          </w:tcPr>
          <w:p w:rsidR="003A1974" w:rsidRPr="000572AB" w:rsidRDefault="003A1974" w:rsidP="00D542E2">
            <w:pPr>
              <w:autoSpaceDE w:val="0"/>
              <w:autoSpaceDN w:val="0"/>
              <w:adjustRightInd w:val="0"/>
              <w:spacing w:after="0" w:line="240" w:lineRule="auto"/>
              <w:rPr>
                <w:rFonts w:ascii="Times New Roman" w:hAnsi="Times New Roman"/>
                <w:sz w:val="20"/>
                <w:szCs w:val="20"/>
                <w:lang w:eastAsia="uk-UA"/>
              </w:rPr>
            </w:pPr>
            <w:r w:rsidRPr="000572AB">
              <w:rPr>
                <w:rFonts w:ascii="Times New Roman" w:hAnsi="Times New Roman"/>
                <w:sz w:val="20"/>
                <w:szCs w:val="20"/>
                <w:lang w:eastAsia="uk-UA"/>
              </w:rPr>
              <w:lastRenderedPageBreak/>
              <w:t xml:space="preserve">Дохідний </w:t>
            </w:r>
            <w:r w:rsidRPr="000572AB">
              <w:rPr>
                <w:rFonts w:ascii="Times New Roman" w:hAnsi="Times New Roman"/>
                <w:sz w:val="20"/>
                <w:szCs w:val="20"/>
                <w:lang w:eastAsia="uk-UA"/>
              </w:rPr>
              <w:lastRenderedPageBreak/>
              <w:t>(дисконтування грошових потоків)</w:t>
            </w:r>
          </w:p>
        </w:tc>
        <w:tc>
          <w:tcPr>
            <w:tcW w:w="2551" w:type="dxa"/>
            <w:tcBorders>
              <w:top w:val="single" w:sz="4" w:space="0" w:color="auto"/>
              <w:left w:val="single" w:sz="4" w:space="0" w:color="auto"/>
              <w:bottom w:val="single" w:sz="4" w:space="0" w:color="auto"/>
              <w:right w:val="single" w:sz="4" w:space="0" w:color="auto"/>
            </w:tcBorders>
            <w:hideMark/>
          </w:tcPr>
          <w:p w:rsidR="003A1974" w:rsidRPr="000572AB" w:rsidRDefault="003A1974" w:rsidP="00D542E2">
            <w:pPr>
              <w:autoSpaceDE w:val="0"/>
              <w:autoSpaceDN w:val="0"/>
              <w:adjustRightInd w:val="0"/>
              <w:spacing w:after="0" w:line="240" w:lineRule="auto"/>
              <w:rPr>
                <w:rFonts w:ascii="Times New Roman" w:hAnsi="Times New Roman"/>
                <w:sz w:val="20"/>
                <w:szCs w:val="20"/>
                <w:lang w:eastAsia="uk-UA"/>
              </w:rPr>
            </w:pPr>
            <w:r w:rsidRPr="000572AB">
              <w:rPr>
                <w:rFonts w:ascii="Times New Roman" w:hAnsi="Times New Roman"/>
                <w:sz w:val="20"/>
                <w:szCs w:val="20"/>
                <w:lang w:eastAsia="uk-UA"/>
              </w:rPr>
              <w:lastRenderedPageBreak/>
              <w:t xml:space="preserve">Ставки за депозитами, </w:t>
            </w:r>
            <w:r w:rsidRPr="000572AB">
              <w:rPr>
                <w:rFonts w:ascii="Times New Roman" w:hAnsi="Times New Roman"/>
                <w:sz w:val="20"/>
                <w:szCs w:val="20"/>
                <w:lang w:eastAsia="uk-UA"/>
              </w:rPr>
              <w:lastRenderedPageBreak/>
              <w:t>ефективні ставки за депозитними договорами</w:t>
            </w:r>
          </w:p>
        </w:tc>
      </w:tr>
      <w:tr w:rsidR="003A1974" w:rsidRPr="000572AB" w:rsidTr="003A1974">
        <w:tc>
          <w:tcPr>
            <w:tcW w:w="2179" w:type="dxa"/>
            <w:tcBorders>
              <w:top w:val="single" w:sz="4" w:space="0" w:color="auto"/>
              <w:left w:val="single" w:sz="4" w:space="0" w:color="auto"/>
              <w:bottom w:val="single" w:sz="4" w:space="0" w:color="auto"/>
              <w:right w:val="single" w:sz="4" w:space="0" w:color="auto"/>
            </w:tcBorders>
            <w:hideMark/>
          </w:tcPr>
          <w:p w:rsidR="003A1974" w:rsidRPr="000572AB" w:rsidRDefault="003A1974" w:rsidP="00D542E2">
            <w:pPr>
              <w:autoSpaceDE w:val="0"/>
              <w:autoSpaceDN w:val="0"/>
              <w:adjustRightInd w:val="0"/>
              <w:spacing w:after="0" w:line="240" w:lineRule="auto"/>
              <w:rPr>
                <w:rFonts w:ascii="Times New Roman" w:hAnsi="Times New Roman"/>
                <w:sz w:val="20"/>
                <w:szCs w:val="20"/>
                <w:lang w:eastAsia="uk-UA"/>
              </w:rPr>
            </w:pPr>
            <w:r w:rsidRPr="000572AB">
              <w:rPr>
                <w:rFonts w:ascii="Times New Roman" w:hAnsi="Times New Roman"/>
                <w:sz w:val="20"/>
                <w:szCs w:val="20"/>
                <w:lang w:eastAsia="uk-UA"/>
              </w:rPr>
              <w:lastRenderedPageBreak/>
              <w:t>Інструменти капіталу</w:t>
            </w:r>
          </w:p>
        </w:tc>
        <w:tc>
          <w:tcPr>
            <w:tcW w:w="3518" w:type="dxa"/>
            <w:tcBorders>
              <w:top w:val="single" w:sz="4" w:space="0" w:color="auto"/>
              <w:left w:val="single" w:sz="4" w:space="0" w:color="auto"/>
              <w:bottom w:val="single" w:sz="4" w:space="0" w:color="auto"/>
              <w:right w:val="single" w:sz="4" w:space="0" w:color="auto"/>
            </w:tcBorders>
            <w:hideMark/>
          </w:tcPr>
          <w:p w:rsidR="003A1974" w:rsidRPr="000572AB" w:rsidRDefault="003A1974" w:rsidP="00D542E2">
            <w:pPr>
              <w:autoSpaceDE w:val="0"/>
              <w:autoSpaceDN w:val="0"/>
              <w:adjustRightInd w:val="0"/>
              <w:spacing w:after="0" w:line="240" w:lineRule="auto"/>
              <w:rPr>
                <w:rFonts w:ascii="Times New Roman" w:hAnsi="Times New Roman"/>
                <w:sz w:val="20"/>
                <w:szCs w:val="20"/>
                <w:lang w:eastAsia="uk-UA"/>
              </w:rPr>
            </w:pPr>
            <w:r w:rsidRPr="000572AB">
              <w:rPr>
                <w:rFonts w:ascii="Times New Roman" w:hAnsi="Times New Roman"/>
                <w:sz w:val="20"/>
                <w:szCs w:val="20"/>
                <w:lang w:eastAsia="uk-UA"/>
              </w:rPr>
              <w:t>Первісна оцінка інструментів капіталу здійснюється за їх справедливою вартістю, яка зазвичай дорівнює ціні операції, в ході якої був отриманий актив. Подальша оцінка інструментів капіталу здійснюється за справедливою вартістю на дату оцінки.</w:t>
            </w:r>
          </w:p>
        </w:tc>
        <w:tc>
          <w:tcPr>
            <w:tcW w:w="1499" w:type="dxa"/>
            <w:tcBorders>
              <w:top w:val="single" w:sz="4" w:space="0" w:color="auto"/>
              <w:left w:val="single" w:sz="4" w:space="0" w:color="auto"/>
              <w:bottom w:val="single" w:sz="4" w:space="0" w:color="auto"/>
              <w:right w:val="single" w:sz="4" w:space="0" w:color="auto"/>
            </w:tcBorders>
            <w:hideMark/>
          </w:tcPr>
          <w:p w:rsidR="003A1974" w:rsidRPr="000572AB" w:rsidRDefault="003A1974" w:rsidP="00D542E2">
            <w:pPr>
              <w:autoSpaceDE w:val="0"/>
              <w:autoSpaceDN w:val="0"/>
              <w:adjustRightInd w:val="0"/>
              <w:spacing w:after="0" w:line="240" w:lineRule="auto"/>
              <w:rPr>
                <w:rFonts w:ascii="Times New Roman" w:hAnsi="Times New Roman"/>
                <w:sz w:val="20"/>
                <w:szCs w:val="20"/>
                <w:lang w:eastAsia="uk-UA"/>
              </w:rPr>
            </w:pPr>
            <w:r w:rsidRPr="000572AB">
              <w:rPr>
                <w:rFonts w:ascii="Times New Roman" w:hAnsi="Times New Roman"/>
                <w:sz w:val="20"/>
                <w:szCs w:val="20"/>
                <w:lang w:eastAsia="uk-UA"/>
              </w:rPr>
              <w:t>Ринковий, витратний</w:t>
            </w:r>
          </w:p>
        </w:tc>
        <w:tc>
          <w:tcPr>
            <w:tcW w:w="2551" w:type="dxa"/>
            <w:tcBorders>
              <w:top w:val="single" w:sz="4" w:space="0" w:color="auto"/>
              <w:left w:val="single" w:sz="4" w:space="0" w:color="auto"/>
              <w:bottom w:val="single" w:sz="4" w:space="0" w:color="auto"/>
              <w:right w:val="single" w:sz="4" w:space="0" w:color="auto"/>
            </w:tcBorders>
            <w:hideMark/>
          </w:tcPr>
          <w:p w:rsidR="003A1974" w:rsidRPr="000572AB" w:rsidRDefault="003A1974" w:rsidP="00D542E2">
            <w:pPr>
              <w:autoSpaceDE w:val="0"/>
              <w:autoSpaceDN w:val="0"/>
              <w:adjustRightInd w:val="0"/>
              <w:spacing w:after="0" w:line="240" w:lineRule="auto"/>
              <w:rPr>
                <w:rFonts w:ascii="Times New Roman" w:hAnsi="Times New Roman"/>
                <w:sz w:val="20"/>
                <w:szCs w:val="20"/>
                <w:lang w:eastAsia="uk-UA"/>
              </w:rPr>
            </w:pPr>
            <w:r w:rsidRPr="000572AB">
              <w:rPr>
                <w:rFonts w:ascii="Times New Roman" w:hAnsi="Times New Roman"/>
                <w:sz w:val="20"/>
                <w:szCs w:val="20"/>
                <w:lang w:eastAsia="uk-UA"/>
              </w:rPr>
              <w:t>Офіційні біржові курси організаторів торгів на дату оцінки, за відсутності визначеного біржового курсу на дату оцінки, використовується остання балансова вартість, ціни закриття біржового торгового дня</w:t>
            </w:r>
          </w:p>
        </w:tc>
      </w:tr>
      <w:tr w:rsidR="003A1974" w:rsidRPr="000572AB" w:rsidTr="003A1974">
        <w:tc>
          <w:tcPr>
            <w:tcW w:w="2179" w:type="dxa"/>
            <w:tcBorders>
              <w:top w:val="single" w:sz="4" w:space="0" w:color="auto"/>
              <w:left w:val="single" w:sz="4" w:space="0" w:color="auto"/>
              <w:bottom w:val="single" w:sz="4" w:space="0" w:color="auto"/>
              <w:right w:val="single" w:sz="4" w:space="0" w:color="auto"/>
            </w:tcBorders>
            <w:hideMark/>
          </w:tcPr>
          <w:p w:rsidR="003A1974" w:rsidRPr="000572AB" w:rsidRDefault="003A1974" w:rsidP="00D542E2">
            <w:pPr>
              <w:autoSpaceDE w:val="0"/>
              <w:autoSpaceDN w:val="0"/>
              <w:adjustRightInd w:val="0"/>
              <w:spacing w:after="0" w:line="240" w:lineRule="auto"/>
              <w:rPr>
                <w:rFonts w:ascii="Times New Roman" w:hAnsi="Times New Roman"/>
                <w:sz w:val="20"/>
                <w:szCs w:val="20"/>
                <w:lang w:eastAsia="uk-UA"/>
              </w:rPr>
            </w:pPr>
            <w:r w:rsidRPr="000572AB">
              <w:rPr>
                <w:rFonts w:ascii="Times New Roman" w:hAnsi="Times New Roman"/>
                <w:sz w:val="20"/>
                <w:szCs w:val="20"/>
                <w:lang w:eastAsia="uk-UA"/>
              </w:rPr>
              <w:t>Інвестиційна нерухомість</w:t>
            </w:r>
          </w:p>
        </w:tc>
        <w:tc>
          <w:tcPr>
            <w:tcW w:w="3518" w:type="dxa"/>
            <w:tcBorders>
              <w:top w:val="single" w:sz="4" w:space="0" w:color="auto"/>
              <w:left w:val="single" w:sz="4" w:space="0" w:color="auto"/>
              <w:bottom w:val="single" w:sz="4" w:space="0" w:color="auto"/>
              <w:right w:val="single" w:sz="4" w:space="0" w:color="auto"/>
            </w:tcBorders>
            <w:hideMark/>
          </w:tcPr>
          <w:p w:rsidR="003A1974" w:rsidRPr="000572AB" w:rsidRDefault="003A1974" w:rsidP="00D542E2">
            <w:pPr>
              <w:autoSpaceDE w:val="0"/>
              <w:autoSpaceDN w:val="0"/>
              <w:adjustRightInd w:val="0"/>
              <w:spacing w:after="0" w:line="240" w:lineRule="auto"/>
              <w:rPr>
                <w:rFonts w:ascii="Times New Roman" w:hAnsi="Times New Roman"/>
                <w:sz w:val="20"/>
                <w:szCs w:val="20"/>
                <w:lang w:eastAsia="uk-UA"/>
              </w:rPr>
            </w:pPr>
            <w:r w:rsidRPr="000572AB">
              <w:rPr>
                <w:rFonts w:ascii="Times New Roman" w:hAnsi="Times New Roman"/>
                <w:sz w:val="20"/>
                <w:szCs w:val="20"/>
                <w:lang w:eastAsia="uk-UA"/>
              </w:rPr>
              <w:t>Первісна оцінка інвестиційної нерухомості здійснюється за собівартістю. Подальша оцінка інвестиційної нерухомості здійснюється за справедливою вартістю на дату оцінки.</w:t>
            </w:r>
          </w:p>
        </w:tc>
        <w:tc>
          <w:tcPr>
            <w:tcW w:w="1499" w:type="dxa"/>
            <w:tcBorders>
              <w:top w:val="single" w:sz="4" w:space="0" w:color="auto"/>
              <w:left w:val="single" w:sz="4" w:space="0" w:color="auto"/>
              <w:bottom w:val="single" w:sz="4" w:space="0" w:color="auto"/>
              <w:right w:val="single" w:sz="4" w:space="0" w:color="auto"/>
            </w:tcBorders>
            <w:hideMark/>
          </w:tcPr>
          <w:p w:rsidR="003A1974" w:rsidRPr="000572AB" w:rsidRDefault="003A1974" w:rsidP="00D542E2">
            <w:pPr>
              <w:autoSpaceDE w:val="0"/>
              <w:autoSpaceDN w:val="0"/>
              <w:adjustRightInd w:val="0"/>
              <w:spacing w:after="0" w:line="240" w:lineRule="auto"/>
              <w:rPr>
                <w:rFonts w:ascii="Times New Roman" w:hAnsi="Times New Roman"/>
                <w:sz w:val="20"/>
                <w:szCs w:val="20"/>
                <w:lang w:eastAsia="uk-UA"/>
              </w:rPr>
            </w:pPr>
            <w:r w:rsidRPr="000572AB">
              <w:rPr>
                <w:rFonts w:ascii="Times New Roman" w:hAnsi="Times New Roman"/>
                <w:sz w:val="20"/>
                <w:szCs w:val="20"/>
                <w:lang w:eastAsia="uk-UA"/>
              </w:rPr>
              <w:t>Ринковий, дохідний, витратний</w:t>
            </w:r>
          </w:p>
        </w:tc>
        <w:tc>
          <w:tcPr>
            <w:tcW w:w="2551" w:type="dxa"/>
            <w:tcBorders>
              <w:top w:val="single" w:sz="4" w:space="0" w:color="auto"/>
              <w:left w:val="single" w:sz="4" w:space="0" w:color="auto"/>
              <w:bottom w:val="single" w:sz="4" w:space="0" w:color="auto"/>
              <w:right w:val="single" w:sz="4" w:space="0" w:color="auto"/>
            </w:tcBorders>
            <w:hideMark/>
          </w:tcPr>
          <w:p w:rsidR="003A1974" w:rsidRPr="000572AB" w:rsidRDefault="003A1974" w:rsidP="00D542E2">
            <w:pPr>
              <w:autoSpaceDE w:val="0"/>
              <w:autoSpaceDN w:val="0"/>
              <w:adjustRightInd w:val="0"/>
              <w:spacing w:after="0" w:line="240" w:lineRule="auto"/>
              <w:rPr>
                <w:rFonts w:ascii="Times New Roman" w:hAnsi="Times New Roman"/>
                <w:sz w:val="20"/>
                <w:szCs w:val="20"/>
                <w:lang w:eastAsia="uk-UA"/>
              </w:rPr>
            </w:pPr>
            <w:r w:rsidRPr="000572AB">
              <w:rPr>
                <w:rFonts w:ascii="Times New Roman" w:hAnsi="Times New Roman"/>
                <w:sz w:val="20"/>
                <w:szCs w:val="20"/>
                <w:lang w:eastAsia="uk-UA"/>
              </w:rPr>
              <w:t>Ціни на ринку нерухомості, дані оцінки професійних оцінювачів</w:t>
            </w:r>
          </w:p>
        </w:tc>
      </w:tr>
      <w:tr w:rsidR="003A1974" w:rsidRPr="000572AB" w:rsidTr="003D5FDB">
        <w:trPr>
          <w:trHeight w:val="3467"/>
        </w:trPr>
        <w:tc>
          <w:tcPr>
            <w:tcW w:w="2179" w:type="dxa"/>
            <w:tcBorders>
              <w:top w:val="single" w:sz="4" w:space="0" w:color="auto"/>
              <w:left w:val="single" w:sz="4" w:space="0" w:color="auto"/>
              <w:bottom w:val="single" w:sz="4" w:space="0" w:color="auto"/>
              <w:right w:val="single" w:sz="4" w:space="0" w:color="auto"/>
            </w:tcBorders>
            <w:hideMark/>
          </w:tcPr>
          <w:p w:rsidR="003A1974" w:rsidRPr="000572AB" w:rsidRDefault="003A1974" w:rsidP="00D542E2">
            <w:pPr>
              <w:autoSpaceDE w:val="0"/>
              <w:autoSpaceDN w:val="0"/>
              <w:adjustRightInd w:val="0"/>
              <w:spacing w:after="0" w:line="240" w:lineRule="auto"/>
              <w:rPr>
                <w:rFonts w:ascii="Times New Roman" w:hAnsi="Times New Roman"/>
                <w:sz w:val="20"/>
                <w:szCs w:val="20"/>
                <w:lang w:eastAsia="uk-UA"/>
              </w:rPr>
            </w:pPr>
            <w:r w:rsidRPr="000572AB">
              <w:rPr>
                <w:rFonts w:ascii="Times New Roman" w:hAnsi="Times New Roman"/>
                <w:sz w:val="20"/>
                <w:szCs w:val="20"/>
                <w:lang w:eastAsia="uk-UA"/>
              </w:rPr>
              <w:t>Дебіторська заборгованість</w:t>
            </w:r>
          </w:p>
        </w:tc>
        <w:tc>
          <w:tcPr>
            <w:tcW w:w="3518" w:type="dxa"/>
            <w:tcBorders>
              <w:top w:val="single" w:sz="4" w:space="0" w:color="auto"/>
              <w:left w:val="single" w:sz="4" w:space="0" w:color="auto"/>
              <w:bottom w:val="single" w:sz="4" w:space="0" w:color="auto"/>
              <w:right w:val="single" w:sz="4" w:space="0" w:color="auto"/>
            </w:tcBorders>
            <w:hideMark/>
          </w:tcPr>
          <w:p w:rsidR="003A1974" w:rsidRPr="000572AB" w:rsidRDefault="003A1974" w:rsidP="00D542E2">
            <w:pPr>
              <w:shd w:val="clear" w:color="auto" w:fill="FFFFFF"/>
              <w:autoSpaceDE w:val="0"/>
              <w:autoSpaceDN w:val="0"/>
              <w:adjustRightInd w:val="0"/>
              <w:spacing w:after="0" w:line="240" w:lineRule="auto"/>
              <w:jc w:val="both"/>
              <w:rPr>
                <w:rFonts w:ascii="Times New Roman" w:hAnsi="Times New Roman"/>
                <w:sz w:val="20"/>
                <w:szCs w:val="20"/>
                <w:lang w:eastAsia="uk-UA"/>
              </w:rPr>
            </w:pPr>
            <w:r w:rsidRPr="000572AB">
              <w:rPr>
                <w:rFonts w:ascii="Times New Roman" w:hAnsi="Times New Roman"/>
                <w:sz w:val="20"/>
                <w:szCs w:val="20"/>
                <w:lang w:eastAsia="uk-UA"/>
              </w:rPr>
              <w:t>Первісна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 Після первісного визнання подальша оцінка дебіторської заборгованості здійснюється за амортизованою собівартістю із застосуванням методу ефективного відсотка, крім тієї, яка нескасовно призначена як така, що оцінюється за справедливою вартістю з відображенням результату переоцінки у прибутку або збитку</w:t>
            </w:r>
          </w:p>
        </w:tc>
        <w:tc>
          <w:tcPr>
            <w:tcW w:w="1499" w:type="dxa"/>
            <w:tcBorders>
              <w:top w:val="single" w:sz="4" w:space="0" w:color="auto"/>
              <w:left w:val="single" w:sz="4" w:space="0" w:color="auto"/>
              <w:bottom w:val="single" w:sz="4" w:space="0" w:color="auto"/>
              <w:right w:val="single" w:sz="4" w:space="0" w:color="auto"/>
            </w:tcBorders>
            <w:hideMark/>
          </w:tcPr>
          <w:p w:rsidR="003A1974" w:rsidRPr="000572AB" w:rsidRDefault="003A1974" w:rsidP="00D542E2">
            <w:pPr>
              <w:autoSpaceDE w:val="0"/>
              <w:autoSpaceDN w:val="0"/>
              <w:adjustRightInd w:val="0"/>
              <w:spacing w:after="0" w:line="240" w:lineRule="auto"/>
              <w:jc w:val="both"/>
              <w:rPr>
                <w:rFonts w:ascii="Times New Roman" w:hAnsi="Times New Roman"/>
                <w:sz w:val="20"/>
                <w:szCs w:val="20"/>
                <w:lang w:eastAsia="uk-UA"/>
              </w:rPr>
            </w:pPr>
            <w:r w:rsidRPr="000572AB">
              <w:rPr>
                <w:rFonts w:ascii="Times New Roman" w:hAnsi="Times New Roman"/>
                <w:sz w:val="20"/>
                <w:szCs w:val="20"/>
                <w:lang w:eastAsia="uk-UA"/>
              </w:rPr>
              <w:t>Дохідний</w:t>
            </w:r>
          </w:p>
          <w:p w:rsidR="003A1974" w:rsidRPr="000572AB" w:rsidRDefault="003A1974" w:rsidP="00D542E2">
            <w:pPr>
              <w:autoSpaceDE w:val="0"/>
              <w:autoSpaceDN w:val="0"/>
              <w:adjustRightInd w:val="0"/>
              <w:spacing w:after="0" w:line="240" w:lineRule="auto"/>
              <w:jc w:val="both"/>
              <w:rPr>
                <w:rFonts w:ascii="Times New Roman" w:hAnsi="Times New Roman"/>
                <w:sz w:val="20"/>
                <w:szCs w:val="20"/>
                <w:lang w:eastAsia="uk-UA"/>
              </w:rPr>
            </w:pPr>
            <w:r w:rsidRPr="000572AB">
              <w:rPr>
                <w:rFonts w:ascii="Times New Roman" w:hAnsi="Times New Roman"/>
                <w:sz w:val="20"/>
                <w:szCs w:val="20"/>
                <w:lang w:eastAsia="uk-UA"/>
              </w:rPr>
              <w:t>(дисконтування грошових потоків)</w:t>
            </w:r>
          </w:p>
        </w:tc>
        <w:tc>
          <w:tcPr>
            <w:tcW w:w="2551" w:type="dxa"/>
            <w:tcBorders>
              <w:top w:val="single" w:sz="4" w:space="0" w:color="auto"/>
              <w:left w:val="single" w:sz="4" w:space="0" w:color="auto"/>
              <w:bottom w:val="single" w:sz="4" w:space="0" w:color="auto"/>
              <w:right w:val="single" w:sz="4" w:space="0" w:color="auto"/>
            </w:tcBorders>
            <w:hideMark/>
          </w:tcPr>
          <w:p w:rsidR="003A1974" w:rsidRPr="000572AB" w:rsidRDefault="003A1974" w:rsidP="00D542E2">
            <w:pPr>
              <w:autoSpaceDE w:val="0"/>
              <w:autoSpaceDN w:val="0"/>
              <w:adjustRightInd w:val="0"/>
              <w:spacing w:after="0" w:line="240" w:lineRule="auto"/>
              <w:rPr>
                <w:rFonts w:ascii="Times New Roman" w:hAnsi="Times New Roman"/>
                <w:sz w:val="20"/>
                <w:szCs w:val="20"/>
                <w:lang w:eastAsia="uk-UA"/>
              </w:rPr>
            </w:pPr>
            <w:r w:rsidRPr="000572AB">
              <w:rPr>
                <w:rFonts w:ascii="Times New Roman" w:hAnsi="Times New Roman"/>
                <w:sz w:val="20"/>
                <w:szCs w:val="20"/>
                <w:lang w:eastAsia="uk-UA"/>
              </w:rPr>
              <w:t>Контрактні умови, ймовірність погашення, очікувані вхідні грошові потоки</w:t>
            </w:r>
          </w:p>
        </w:tc>
      </w:tr>
      <w:tr w:rsidR="003A1974" w:rsidRPr="000572AB" w:rsidTr="003A1974">
        <w:tc>
          <w:tcPr>
            <w:tcW w:w="2179" w:type="dxa"/>
            <w:tcBorders>
              <w:top w:val="single" w:sz="4" w:space="0" w:color="auto"/>
              <w:left w:val="single" w:sz="4" w:space="0" w:color="auto"/>
              <w:bottom w:val="single" w:sz="4" w:space="0" w:color="auto"/>
              <w:right w:val="single" w:sz="4" w:space="0" w:color="auto"/>
            </w:tcBorders>
            <w:hideMark/>
          </w:tcPr>
          <w:p w:rsidR="003A1974" w:rsidRPr="000572AB" w:rsidRDefault="003A1974" w:rsidP="00D542E2">
            <w:pPr>
              <w:autoSpaceDE w:val="0"/>
              <w:autoSpaceDN w:val="0"/>
              <w:adjustRightInd w:val="0"/>
              <w:spacing w:after="0" w:line="240" w:lineRule="auto"/>
              <w:rPr>
                <w:rFonts w:ascii="Times New Roman" w:hAnsi="Times New Roman"/>
                <w:sz w:val="20"/>
                <w:szCs w:val="20"/>
                <w:lang w:eastAsia="uk-UA"/>
              </w:rPr>
            </w:pPr>
            <w:r w:rsidRPr="000572AB">
              <w:rPr>
                <w:rFonts w:ascii="Times New Roman" w:hAnsi="Times New Roman"/>
                <w:sz w:val="20"/>
                <w:szCs w:val="20"/>
                <w:lang w:eastAsia="uk-UA"/>
              </w:rPr>
              <w:t>Поточні зобов’язання</w:t>
            </w:r>
          </w:p>
        </w:tc>
        <w:tc>
          <w:tcPr>
            <w:tcW w:w="3518" w:type="dxa"/>
            <w:tcBorders>
              <w:top w:val="single" w:sz="4" w:space="0" w:color="auto"/>
              <w:left w:val="single" w:sz="4" w:space="0" w:color="auto"/>
              <w:bottom w:val="single" w:sz="4" w:space="0" w:color="auto"/>
              <w:right w:val="single" w:sz="4" w:space="0" w:color="auto"/>
            </w:tcBorders>
            <w:hideMark/>
          </w:tcPr>
          <w:p w:rsidR="003A1974" w:rsidRPr="000572AB" w:rsidRDefault="003A1974" w:rsidP="00D542E2">
            <w:pPr>
              <w:autoSpaceDE w:val="0"/>
              <w:autoSpaceDN w:val="0"/>
              <w:adjustRightInd w:val="0"/>
              <w:spacing w:after="0" w:line="240" w:lineRule="auto"/>
              <w:rPr>
                <w:rFonts w:ascii="Times New Roman" w:hAnsi="Times New Roman"/>
                <w:sz w:val="20"/>
                <w:szCs w:val="20"/>
                <w:lang w:eastAsia="uk-UA"/>
              </w:rPr>
            </w:pPr>
            <w:r w:rsidRPr="000572AB">
              <w:rPr>
                <w:rFonts w:ascii="Times New Roman" w:hAnsi="Times New Roman"/>
                <w:sz w:val="20"/>
                <w:szCs w:val="20"/>
                <w:lang w:eastAsia="uk-UA"/>
              </w:rPr>
              <w:t>Первісна та подальша оцінка поточних зобов’язань здійснюється за вартістю погашення</w:t>
            </w:r>
          </w:p>
        </w:tc>
        <w:tc>
          <w:tcPr>
            <w:tcW w:w="1499" w:type="dxa"/>
            <w:tcBorders>
              <w:top w:val="single" w:sz="4" w:space="0" w:color="auto"/>
              <w:left w:val="single" w:sz="4" w:space="0" w:color="auto"/>
              <w:bottom w:val="single" w:sz="4" w:space="0" w:color="auto"/>
              <w:right w:val="single" w:sz="4" w:space="0" w:color="auto"/>
            </w:tcBorders>
            <w:hideMark/>
          </w:tcPr>
          <w:p w:rsidR="003A1974" w:rsidRPr="000572AB" w:rsidRDefault="003A1974" w:rsidP="00D542E2">
            <w:pPr>
              <w:autoSpaceDE w:val="0"/>
              <w:autoSpaceDN w:val="0"/>
              <w:adjustRightInd w:val="0"/>
              <w:spacing w:after="0" w:line="240" w:lineRule="auto"/>
              <w:jc w:val="both"/>
              <w:rPr>
                <w:rFonts w:ascii="Times New Roman" w:hAnsi="Times New Roman"/>
                <w:sz w:val="20"/>
                <w:szCs w:val="20"/>
                <w:lang w:eastAsia="uk-UA"/>
              </w:rPr>
            </w:pPr>
            <w:r w:rsidRPr="000572AB">
              <w:rPr>
                <w:rFonts w:ascii="Times New Roman" w:hAnsi="Times New Roman"/>
                <w:sz w:val="20"/>
                <w:szCs w:val="20"/>
                <w:lang w:eastAsia="uk-UA"/>
              </w:rPr>
              <w:t>Витратний</w:t>
            </w:r>
          </w:p>
        </w:tc>
        <w:tc>
          <w:tcPr>
            <w:tcW w:w="2551" w:type="dxa"/>
            <w:tcBorders>
              <w:top w:val="single" w:sz="4" w:space="0" w:color="auto"/>
              <w:left w:val="single" w:sz="4" w:space="0" w:color="auto"/>
              <w:bottom w:val="single" w:sz="4" w:space="0" w:color="auto"/>
              <w:right w:val="single" w:sz="4" w:space="0" w:color="auto"/>
            </w:tcBorders>
            <w:hideMark/>
          </w:tcPr>
          <w:p w:rsidR="003A1974" w:rsidRPr="000572AB" w:rsidRDefault="003A1974" w:rsidP="00D542E2">
            <w:pPr>
              <w:autoSpaceDE w:val="0"/>
              <w:autoSpaceDN w:val="0"/>
              <w:adjustRightInd w:val="0"/>
              <w:spacing w:after="0" w:line="240" w:lineRule="auto"/>
              <w:rPr>
                <w:rFonts w:ascii="Times New Roman" w:hAnsi="Times New Roman"/>
                <w:sz w:val="20"/>
                <w:szCs w:val="20"/>
                <w:lang w:eastAsia="uk-UA"/>
              </w:rPr>
            </w:pPr>
            <w:r w:rsidRPr="000572AB">
              <w:rPr>
                <w:rFonts w:ascii="Times New Roman" w:hAnsi="Times New Roman"/>
                <w:sz w:val="20"/>
                <w:szCs w:val="20"/>
                <w:lang w:eastAsia="uk-UA"/>
              </w:rPr>
              <w:t>Контрактні умови, ймовірність погашення, очікувані вихідні грошові потоки</w:t>
            </w:r>
          </w:p>
        </w:tc>
      </w:tr>
    </w:tbl>
    <w:p w:rsidR="003A1974" w:rsidRPr="000572AB" w:rsidRDefault="003A1974" w:rsidP="00D542E2">
      <w:pPr>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37BA4" w:rsidRPr="000572AB" w:rsidRDefault="00434BF7" w:rsidP="00D542E2">
      <w:pPr>
        <w:pStyle w:val="a1"/>
        <w:spacing w:before="0" w:after="0"/>
        <w:ind w:firstLine="709"/>
        <w:contextualSpacing/>
        <w:jc w:val="both"/>
        <w:rPr>
          <w:sz w:val="20"/>
          <w:szCs w:val="20"/>
          <w:lang w:val="uk-UA"/>
        </w:rPr>
      </w:pPr>
      <w:r w:rsidRPr="000572AB">
        <w:rPr>
          <w:bCs w:val="0"/>
          <w:sz w:val="20"/>
          <w:szCs w:val="20"/>
          <w:lang w:val="uk-UA"/>
        </w:rPr>
        <w:t>6</w:t>
      </w:r>
      <w:r w:rsidR="00637BA4" w:rsidRPr="000572AB">
        <w:rPr>
          <w:b w:val="0"/>
          <w:bCs w:val="0"/>
          <w:sz w:val="20"/>
          <w:szCs w:val="20"/>
          <w:lang w:val="uk-UA"/>
        </w:rPr>
        <w:t>.</w:t>
      </w:r>
      <w:r w:rsidR="00637BA4" w:rsidRPr="000572AB">
        <w:rPr>
          <w:sz w:val="20"/>
          <w:szCs w:val="20"/>
          <w:lang w:val="uk-UA"/>
        </w:rPr>
        <w:t>2. Припущення про функціонування Товариства в найближчому майбутньому</w:t>
      </w:r>
      <w:r w:rsidRPr="000572AB">
        <w:rPr>
          <w:sz w:val="20"/>
          <w:szCs w:val="20"/>
          <w:lang w:val="uk-UA"/>
        </w:rPr>
        <w:t>.</w:t>
      </w:r>
    </w:p>
    <w:p w:rsidR="00637BA4" w:rsidRPr="000572AB" w:rsidRDefault="00637BA4" w:rsidP="00D542E2">
      <w:pPr>
        <w:pStyle w:val="a2"/>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 xml:space="preserve">Фінансова звітність  підготовлена виходячи з припущення про функціонування Товариства в майбутньому, яке передбачає реалізацію активів і виконання зобов’язань в ході звичайної діяльності. </w:t>
      </w:r>
    </w:p>
    <w:p w:rsidR="00637BA4" w:rsidRPr="000572AB" w:rsidRDefault="00637BA4" w:rsidP="00D542E2">
      <w:pPr>
        <w:pStyle w:val="a2"/>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Таким чином, фінансова звітність не містить будь-яких коригувань відображених сум активів, які були б необхідні, якби Товариство було неспроможне продовжувати свою діяльність в майбутньому.</w:t>
      </w:r>
    </w:p>
    <w:p w:rsidR="00637BA4" w:rsidRPr="000572AB" w:rsidRDefault="00637BA4"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 xml:space="preserve">Ця фінансова звітність Товариства складена із застосуванням Міжнародних </w:t>
      </w:r>
      <w:r w:rsidR="000C0B9A" w:rsidRPr="000572AB">
        <w:rPr>
          <w:rFonts w:ascii="Times New Roman" w:hAnsi="Times New Roman"/>
          <w:sz w:val="20"/>
          <w:szCs w:val="20"/>
        </w:rPr>
        <w:t>стандартів фінансової звітності</w:t>
      </w:r>
      <w:r w:rsidRPr="000572AB">
        <w:rPr>
          <w:rFonts w:ascii="Times New Roman" w:hAnsi="Times New Roman"/>
          <w:sz w:val="20"/>
          <w:szCs w:val="20"/>
        </w:rPr>
        <w:t>.</w:t>
      </w:r>
    </w:p>
    <w:p w:rsidR="00637BA4" w:rsidRPr="000572AB" w:rsidRDefault="00637BA4" w:rsidP="00D542E2">
      <w:pPr>
        <w:pStyle w:val="a2"/>
        <w:spacing w:after="0" w:line="240" w:lineRule="auto"/>
        <w:ind w:firstLine="709"/>
        <w:contextualSpacing/>
        <w:jc w:val="both"/>
        <w:rPr>
          <w:rFonts w:ascii="Times New Roman" w:hAnsi="Times New Roman"/>
          <w:sz w:val="20"/>
          <w:szCs w:val="20"/>
        </w:rPr>
      </w:pPr>
    </w:p>
    <w:p w:rsidR="00637BA4" w:rsidRPr="000572AB" w:rsidRDefault="00637BA4" w:rsidP="00D542E2">
      <w:pPr>
        <w:pStyle w:val="a"/>
        <w:rPr>
          <w:sz w:val="20"/>
          <w:szCs w:val="20"/>
        </w:rPr>
      </w:pPr>
      <w:r w:rsidRPr="000572AB">
        <w:rPr>
          <w:sz w:val="20"/>
          <w:szCs w:val="20"/>
        </w:rPr>
        <w:t>Аналіз статей фінансової звітності</w:t>
      </w:r>
    </w:p>
    <w:p w:rsidR="00637BA4" w:rsidRPr="000572AB" w:rsidRDefault="00637BA4"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Справедлива вартість – сума, за якою можна обміняти актив або погасити зобов’язання в операції між обізнаними, зацікавленими та незалежними сторонами.</w:t>
      </w:r>
    </w:p>
    <w:p w:rsidR="00637BA4" w:rsidRPr="000572AB" w:rsidRDefault="00637BA4"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Суттєвість – пропуск або викривлення статей є суттєвим, якщо вони можуть (окремо чи в сукупності) впливати на економічні рішення, які приймають користувачі на основі фінансової звітності. Суттєвість залежить від розміру та характеру пропуску чи викривлення, що оцінюється за конкретних обставин. Визначальним може бути як розмір або характер статті, так і поєднання статей.</w:t>
      </w:r>
    </w:p>
    <w:p w:rsidR="00637BA4" w:rsidRPr="000572AB" w:rsidRDefault="00637BA4"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 xml:space="preserve">Активи, зобов’язання та власний капітал – це елементи, які безпосередньо пов’язані з оцінкою фінансового стану. </w:t>
      </w:r>
    </w:p>
    <w:p w:rsidR="00637BA4" w:rsidRPr="000572AB" w:rsidRDefault="00637BA4"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Активи – ресурси контрольовані підприємством у результаті минулих подій, від якого очікуються надходження майбутніх економічних вигід до Товариства.</w:t>
      </w:r>
    </w:p>
    <w:p w:rsidR="00637BA4" w:rsidRPr="000572AB" w:rsidRDefault="00637BA4"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lastRenderedPageBreak/>
        <w:t>Зобов’язання – теперішня заборгованість підприємства, яка виникає внаслідок подій і погашення якої, за очікуванням, спричинить вибуття ресурсів із підприємства, котрі втілюють у собі майбутні економічні вигоди.</w:t>
      </w:r>
    </w:p>
    <w:p w:rsidR="00637BA4" w:rsidRPr="000572AB" w:rsidRDefault="00637BA4"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Власний капітал – це залишкова частка в активах підприємства після вирахування всіх його зобов’язань.</w:t>
      </w:r>
    </w:p>
    <w:p w:rsidR="00637BA4" w:rsidRPr="000572AB" w:rsidRDefault="00637BA4"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 xml:space="preserve">Облікова політика Товариства регламентується Законодавством України, МСФЗ та Наказом </w:t>
      </w:r>
      <w:r w:rsidR="00094AB4" w:rsidRPr="000572AB">
        <w:rPr>
          <w:rFonts w:ascii="Times New Roman" w:hAnsi="Times New Roman"/>
          <w:sz w:val="20"/>
          <w:szCs w:val="20"/>
        </w:rPr>
        <w:t>Товариства</w:t>
      </w:r>
      <w:r w:rsidRPr="000572AB">
        <w:rPr>
          <w:rFonts w:ascii="Times New Roman" w:hAnsi="Times New Roman"/>
          <w:sz w:val="20"/>
          <w:szCs w:val="20"/>
        </w:rPr>
        <w:t xml:space="preserve"> «Про організацію бухгалтерського обл</w:t>
      </w:r>
      <w:r w:rsidR="00333A52" w:rsidRPr="000572AB">
        <w:rPr>
          <w:rFonts w:ascii="Times New Roman" w:hAnsi="Times New Roman"/>
          <w:sz w:val="20"/>
          <w:szCs w:val="20"/>
        </w:rPr>
        <w:t>іку та облікової політики у 201</w:t>
      </w:r>
      <w:r w:rsidR="00383D01" w:rsidRPr="000572AB">
        <w:rPr>
          <w:rFonts w:ascii="Times New Roman" w:hAnsi="Times New Roman"/>
          <w:sz w:val="20"/>
          <w:szCs w:val="20"/>
        </w:rPr>
        <w:t>7</w:t>
      </w:r>
      <w:r w:rsidRPr="000572AB">
        <w:rPr>
          <w:rFonts w:ascii="Times New Roman" w:hAnsi="Times New Roman"/>
          <w:sz w:val="20"/>
          <w:szCs w:val="20"/>
        </w:rPr>
        <w:t xml:space="preserve"> році».</w:t>
      </w:r>
    </w:p>
    <w:p w:rsidR="00434BF7" w:rsidRPr="000572AB" w:rsidRDefault="00434BF7" w:rsidP="00D542E2">
      <w:pPr>
        <w:spacing w:after="0" w:line="240" w:lineRule="auto"/>
        <w:ind w:firstLine="709"/>
        <w:contextualSpacing/>
        <w:jc w:val="both"/>
        <w:rPr>
          <w:rFonts w:ascii="Times New Roman" w:hAnsi="Times New Roman"/>
          <w:sz w:val="20"/>
          <w:szCs w:val="20"/>
        </w:rPr>
      </w:pPr>
    </w:p>
    <w:p w:rsidR="00D161F9" w:rsidRPr="000572AB" w:rsidRDefault="00D161F9" w:rsidP="00D542E2">
      <w:pPr>
        <w:pStyle w:val="a"/>
        <w:rPr>
          <w:sz w:val="20"/>
          <w:szCs w:val="20"/>
        </w:rPr>
      </w:pPr>
      <w:r w:rsidRPr="000572AB">
        <w:rPr>
          <w:sz w:val="20"/>
          <w:szCs w:val="20"/>
        </w:rPr>
        <w:t xml:space="preserve"> Необоротні активи</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Основні засоби Товариства враховуються і відображаються у фінансовій звітності відповідно до МСБО 16 «Основні засоби».</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Основні засоби - це матеріальні об'єкти, що їх:</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а) утримують для використання при наданні ф</w:t>
      </w:r>
      <w:r w:rsidR="000C0B9A" w:rsidRPr="000572AB">
        <w:rPr>
          <w:rFonts w:ascii="Times New Roman" w:hAnsi="Times New Roman"/>
          <w:sz w:val="20"/>
          <w:szCs w:val="20"/>
        </w:rPr>
        <w:t>інансових</w:t>
      </w:r>
      <w:r w:rsidRPr="000572AB">
        <w:rPr>
          <w:rFonts w:ascii="Times New Roman" w:hAnsi="Times New Roman"/>
          <w:sz w:val="20"/>
          <w:szCs w:val="20"/>
        </w:rPr>
        <w:t xml:space="preserve"> послуг;</w:t>
      </w:r>
    </w:p>
    <w:p w:rsidR="00E16C84" w:rsidRPr="000572AB" w:rsidRDefault="00E16C84"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б) використовуватимуть, за очікуванням, протягом більше одного року та вартістю більше 6 000 грн. Необоротні активи, вартість яких є нижчою за встановлену межу, списуються на витрати.</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 xml:space="preserve">Клас основних засобів - це група активів, однакових за характером і способом використання в діяльності підприємства. </w:t>
      </w:r>
      <w:r w:rsidR="00094AB4" w:rsidRPr="000572AB">
        <w:rPr>
          <w:rFonts w:ascii="Times New Roman" w:hAnsi="Times New Roman"/>
          <w:sz w:val="20"/>
          <w:szCs w:val="20"/>
        </w:rPr>
        <w:t>Товариство  використовує</w:t>
      </w:r>
      <w:r w:rsidRPr="000572AB">
        <w:rPr>
          <w:rFonts w:ascii="Times New Roman" w:hAnsi="Times New Roman"/>
          <w:sz w:val="20"/>
          <w:szCs w:val="20"/>
        </w:rPr>
        <w:t xml:space="preserve"> такі класи активів:</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w:t>
      </w:r>
      <w:r w:rsidRPr="000572AB">
        <w:rPr>
          <w:rFonts w:ascii="Times New Roman" w:hAnsi="Times New Roman"/>
          <w:sz w:val="20"/>
          <w:szCs w:val="20"/>
        </w:rPr>
        <w:tab/>
        <w:t>офісна техніка;</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w:t>
      </w:r>
      <w:r w:rsidRPr="000572AB">
        <w:rPr>
          <w:rFonts w:ascii="Times New Roman" w:hAnsi="Times New Roman"/>
          <w:sz w:val="20"/>
          <w:szCs w:val="20"/>
        </w:rPr>
        <w:tab/>
        <w:t>меблі;</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w:t>
      </w:r>
      <w:r w:rsidRPr="000572AB">
        <w:rPr>
          <w:rFonts w:ascii="Times New Roman" w:hAnsi="Times New Roman"/>
          <w:sz w:val="20"/>
          <w:szCs w:val="20"/>
        </w:rPr>
        <w:tab/>
        <w:t>інші основні засоби;</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w:t>
      </w:r>
      <w:r w:rsidRPr="000572AB">
        <w:rPr>
          <w:rFonts w:ascii="Times New Roman" w:hAnsi="Times New Roman"/>
          <w:sz w:val="20"/>
          <w:szCs w:val="20"/>
        </w:rPr>
        <w:tab/>
        <w:t>придбані, але не введені в експлуатацію основні засоби.</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 xml:space="preserve">Основні засоби Товариства враховуються по об'єктах. Об'єкти, що складаються з декількох компонентів, що мають різні терміни корисної експлуатації чи тих, що приносять вигоду </w:t>
      </w:r>
      <w:r w:rsidR="00094AB4" w:rsidRPr="000572AB">
        <w:rPr>
          <w:rFonts w:ascii="Times New Roman" w:hAnsi="Times New Roman"/>
          <w:sz w:val="20"/>
          <w:szCs w:val="20"/>
        </w:rPr>
        <w:t>Товариству</w:t>
      </w:r>
      <w:r w:rsidRPr="000572AB">
        <w:rPr>
          <w:rFonts w:ascii="Times New Roman" w:hAnsi="Times New Roman"/>
          <w:sz w:val="20"/>
          <w:szCs w:val="20"/>
        </w:rPr>
        <w:t xml:space="preserve"> різними способами (що у свою чергу вимагає застосування по відношенню до них різних норм і методів амортизації), врахову</w:t>
      </w:r>
      <w:r w:rsidR="00BF3FC5" w:rsidRPr="000572AB">
        <w:rPr>
          <w:rFonts w:ascii="Times New Roman" w:hAnsi="Times New Roman"/>
          <w:sz w:val="20"/>
          <w:szCs w:val="20"/>
        </w:rPr>
        <w:t>ються</w:t>
      </w:r>
      <w:r w:rsidRPr="000572AB">
        <w:rPr>
          <w:rFonts w:ascii="Times New Roman" w:hAnsi="Times New Roman"/>
          <w:sz w:val="20"/>
          <w:szCs w:val="20"/>
        </w:rPr>
        <w:t xml:space="preserve"> окремо.</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Готові до експлуатації об'єкти, які плануються до використання у складі основних засобів, до моменту початку експлуатації враховуються у складі класу придбані, але не введені в експлуатацію основні засоби.</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Об'єкти основних засобів, які відповідають критеріям визнання активу, оцінюються за їх собівартістю.</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Собівартість об'єктів основних засобів складається з:</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а) ціни його придбання, включаючи імпортні мита та невідшкодовані податки на придбання після вирахування торговельних знижок та цінових знижок;</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 xml:space="preserve">б) </w:t>
      </w:r>
      <w:r w:rsidR="00D060B2" w:rsidRPr="000572AB">
        <w:rPr>
          <w:rFonts w:ascii="Times New Roman" w:hAnsi="Times New Roman"/>
          <w:sz w:val="20"/>
          <w:szCs w:val="20"/>
          <w:lang w:val="ru-RU"/>
        </w:rPr>
        <w:t xml:space="preserve"> </w:t>
      </w:r>
      <w:r w:rsidRPr="000572AB">
        <w:rPr>
          <w:rFonts w:ascii="Times New Roman" w:hAnsi="Times New Roman"/>
          <w:sz w:val="20"/>
          <w:szCs w:val="20"/>
        </w:rPr>
        <w:t>будь-яких витрат, які безпосередньо пов'язані з доставкою активу до місця розташування та приведення його в стан, необхідний для експлуатації у спосіб, визначений управлінським персоналом;</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в) первісної попередньої оцінки витрат на демонтаж, переміщення об'єкта та відновлення території, на якій він розташований, зобов'язання за якими суб'єкт господарювання бере або коли купує цей об'єкт, або коли використовує його протягом певного періоду з метою, яка відрізняється від виробництва запасів протягом цього періоду.</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Ліквідаційна вартість — це сума коштів, яку Товариство очікує отримати за актив при його вибутті після закінчення строку його корисного використання, за вирахуванням витрат на його вибуття. Ліквідаційну вартість Товариство встановлює на кожний об’єкт основних засобів при введенні його в експлуатацію.</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Строк корисної експлуатації основних засобів в</w:t>
      </w:r>
      <w:r w:rsidR="00FE1C8C" w:rsidRPr="000572AB">
        <w:rPr>
          <w:rFonts w:ascii="Times New Roman" w:hAnsi="Times New Roman"/>
          <w:sz w:val="20"/>
          <w:szCs w:val="20"/>
        </w:rPr>
        <w:t>изначається</w:t>
      </w:r>
      <w:r w:rsidRPr="000572AB">
        <w:rPr>
          <w:rFonts w:ascii="Times New Roman" w:hAnsi="Times New Roman"/>
          <w:sz w:val="20"/>
          <w:szCs w:val="20"/>
        </w:rPr>
        <w:t xml:space="preserve"> виходячи з очікуваної корисності активу.</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Строк корисного використання по групах однорідних об'єктів основних засобів визначається комісією з приймання основних засобів та затверджується Директором Товариства. Цей строк переглядається щорічно за результатами річної інвентаризації.</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Строк корисного використання об'єктів основних засобів, отриманих в лізинг, встановлюється рівним терміну дії договору лізингу (терміну сплати лізингових платежів).</w:t>
      </w:r>
    </w:p>
    <w:p w:rsidR="00D161F9" w:rsidRPr="000572AB" w:rsidRDefault="00D161F9" w:rsidP="00D542E2">
      <w:pPr>
        <w:spacing w:after="0" w:line="240" w:lineRule="auto"/>
        <w:ind w:firstLine="709"/>
        <w:contextualSpacing/>
        <w:jc w:val="both"/>
        <w:rPr>
          <w:rFonts w:ascii="Times New Roman" w:hAnsi="Times New Roman"/>
          <w:sz w:val="20"/>
          <w:szCs w:val="20"/>
          <w:lang w:val="ru-RU"/>
        </w:rPr>
      </w:pPr>
      <w:r w:rsidRPr="000572AB">
        <w:rPr>
          <w:rFonts w:ascii="Times New Roman" w:hAnsi="Times New Roman"/>
          <w:sz w:val="20"/>
          <w:szCs w:val="20"/>
        </w:rPr>
        <w:t>Нарахування амортизації по об'єктах основних засобів, пр</w:t>
      </w:r>
      <w:r w:rsidR="00FE1C8C" w:rsidRPr="000572AB">
        <w:rPr>
          <w:rFonts w:ascii="Times New Roman" w:hAnsi="Times New Roman"/>
          <w:sz w:val="20"/>
          <w:szCs w:val="20"/>
        </w:rPr>
        <w:t>оводиться</w:t>
      </w:r>
      <w:r w:rsidRPr="000572AB">
        <w:rPr>
          <w:rFonts w:ascii="Times New Roman" w:hAnsi="Times New Roman"/>
          <w:sz w:val="20"/>
          <w:szCs w:val="20"/>
        </w:rPr>
        <w:t xml:space="preserve"> прямолінійним способом виходячи з терміну корисного використання кожного об'єкта. Нарахування амортизації основних засобів починається з моменту коли цей актив знаходиться у місці та у стані, необхідному для його використання.</w:t>
      </w:r>
    </w:p>
    <w:p w:rsidR="00D638FE" w:rsidRPr="000572AB" w:rsidRDefault="00D638FE"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572AB">
        <w:rPr>
          <w:rFonts w:ascii="Times New Roman" w:hAnsi="Times New Roman"/>
          <w:sz w:val="20"/>
          <w:szCs w:val="20"/>
        </w:rPr>
        <w:t>Амортизація основних засобів Товариства нараховується прямолінійним методом з використанням таких щорічних норм:</w:t>
      </w:r>
    </w:p>
    <w:p w:rsidR="00D638FE" w:rsidRPr="000572AB" w:rsidRDefault="00D638FE" w:rsidP="00D542E2">
      <w:pPr>
        <w:shd w:val="clear" w:color="auto" w:fill="FFFFFF"/>
        <w:tabs>
          <w:tab w:val="left" w:pos="6000"/>
        </w:tabs>
        <w:spacing w:after="0" w:line="240" w:lineRule="auto"/>
        <w:ind w:firstLine="709"/>
        <w:rPr>
          <w:rFonts w:ascii="Times New Roman" w:hAnsi="Times New Roman"/>
          <w:sz w:val="20"/>
          <w:szCs w:val="20"/>
        </w:rPr>
      </w:pPr>
      <w:r w:rsidRPr="000572AB">
        <w:rPr>
          <w:rFonts w:ascii="Times New Roman" w:hAnsi="Times New Roman"/>
          <w:sz w:val="20"/>
          <w:szCs w:val="20"/>
        </w:rPr>
        <w:t>машини та обладнання</w:t>
      </w:r>
      <w:r w:rsidRPr="000572AB">
        <w:rPr>
          <w:rFonts w:ascii="Times New Roman" w:hAnsi="Times New Roman"/>
          <w:sz w:val="20"/>
          <w:szCs w:val="20"/>
        </w:rPr>
        <w:tab/>
      </w:r>
      <w:r w:rsidR="00A005F3" w:rsidRPr="000572AB">
        <w:rPr>
          <w:rFonts w:ascii="Times New Roman" w:hAnsi="Times New Roman"/>
          <w:sz w:val="20"/>
          <w:szCs w:val="20"/>
        </w:rPr>
        <w:t>- 10-20</w:t>
      </w:r>
      <w:r w:rsidRPr="000572AB">
        <w:rPr>
          <w:rFonts w:ascii="Times New Roman" w:hAnsi="Times New Roman"/>
          <w:sz w:val="20"/>
          <w:szCs w:val="20"/>
        </w:rPr>
        <w:t>%</w:t>
      </w:r>
      <w:r w:rsidR="0093193E" w:rsidRPr="000572AB">
        <w:rPr>
          <w:rFonts w:ascii="Times New Roman" w:hAnsi="Times New Roman"/>
          <w:sz w:val="20"/>
          <w:szCs w:val="20"/>
        </w:rPr>
        <w:t>.</w:t>
      </w:r>
    </w:p>
    <w:p w:rsidR="0093193E" w:rsidRPr="000572AB" w:rsidRDefault="0093193E" w:rsidP="00D542E2">
      <w:pPr>
        <w:shd w:val="clear" w:color="auto" w:fill="FFFFFF"/>
        <w:tabs>
          <w:tab w:val="left" w:pos="6000"/>
        </w:tabs>
        <w:spacing w:after="0" w:line="240" w:lineRule="auto"/>
        <w:ind w:firstLine="709"/>
        <w:rPr>
          <w:rFonts w:ascii="Times New Roman" w:hAnsi="Times New Roman"/>
          <w:sz w:val="20"/>
          <w:szCs w:val="20"/>
        </w:rPr>
      </w:pP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Амортизаці</w:t>
      </w:r>
      <w:r w:rsidR="00D060B2" w:rsidRPr="000572AB">
        <w:rPr>
          <w:rFonts w:ascii="Times New Roman" w:hAnsi="Times New Roman"/>
          <w:sz w:val="20"/>
          <w:szCs w:val="20"/>
        </w:rPr>
        <w:t>я</w:t>
      </w:r>
      <w:r w:rsidRPr="000572AB">
        <w:rPr>
          <w:rFonts w:ascii="Times New Roman" w:hAnsi="Times New Roman"/>
          <w:sz w:val="20"/>
          <w:szCs w:val="20"/>
        </w:rPr>
        <w:t xml:space="preserve"> активу пр</w:t>
      </w:r>
      <w:r w:rsidR="00FE1C8C" w:rsidRPr="000572AB">
        <w:rPr>
          <w:rFonts w:ascii="Times New Roman" w:hAnsi="Times New Roman"/>
          <w:sz w:val="20"/>
          <w:szCs w:val="20"/>
        </w:rPr>
        <w:t>ипиняється</w:t>
      </w:r>
      <w:r w:rsidRPr="000572AB">
        <w:rPr>
          <w:rFonts w:ascii="Times New Roman" w:hAnsi="Times New Roman"/>
          <w:sz w:val="20"/>
          <w:szCs w:val="20"/>
        </w:rPr>
        <w:t xml:space="preserve"> на одну з двох дат, яка відбувається раніше: на дату, з якої актив класифікують як утримуваний для продажу (або включають до ліквідаційної групи, яку класифікують як утримувану для продажу) згідно з МСФЗ 5 «Непоточні активи, утримувані для продажу, та припинена діяльність</w:t>
      </w:r>
      <w:r w:rsidR="00FE1C8C" w:rsidRPr="000572AB">
        <w:rPr>
          <w:rFonts w:ascii="Times New Roman" w:hAnsi="Times New Roman"/>
          <w:sz w:val="20"/>
          <w:szCs w:val="20"/>
        </w:rPr>
        <w:t>», або на дату, з якої припиняється</w:t>
      </w:r>
      <w:r w:rsidRPr="000572AB">
        <w:rPr>
          <w:rFonts w:ascii="Times New Roman" w:hAnsi="Times New Roman"/>
          <w:sz w:val="20"/>
          <w:szCs w:val="20"/>
        </w:rPr>
        <w:t xml:space="preserve"> визнання активу.</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Витрати на обслуговування, експлуатацію та ре</w:t>
      </w:r>
      <w:r w:rsidR="00FE1C8C" w:rsidRPr="000572AB">
        <w:rPr>
          <w:rFonts w:ascii="Times New Roman" w:hAnsi="Times New Roman"/>
          <w:sz w:val="20"/>
          <w:szCs w:val="20"/>
        </w:rPr>
        <w:t>монти основних засобів списуються</w:t>
      </w:r>
      <w:r w:rsidRPr="000572AB">
        <w:rPr>
          <w:rFonts w:ascii="Times New Roman" w:hAnsi="Times New Roman"/>
          <w:sz w:val="20"/>
          <w:szCs w:val="20"/>
        </w:rPr>
        <w:t xml:space="preserve"> на витрати в періоді їх виникнення. Вартість істотних оновлень і вдосконалень основних засобів капіталі</w:t>
      </w:r>
      <w:r w:rsidR="00FE1C8C" w:rsidRPr="000572AB">
        <w:rPr>
          <w:rFonts w:ascii="Times New Roman" w:hAnsi="Times New Roman"/>
          <w:sz w:val="20"/>
          <w:szCs w:val="20"/>
        </w:rPr>
        <w:t>зується</w:t>
      </w:r>
      <w:r w:rsidRPr="000572AB">
        <w:rPr>
          <w:rFonts w:ascii="Times New Roman" w:hAnsi="Times New Roman"/>
          <w:sz w:val="20"/>
          <w:szCs w:val="20"/>
        </w:rPr>
        <w:t xml:space="preserve">. Якщо </w:t>
      </w:r>
      <w:r w:rsidRPr="000572AB">
        <w:rPr>
          <w:rFonts w:ascii="Times New Roman" w:hAnsi="Times New Roman"/>
          <w:sz w:val="20"/>
          <w:szCs w:val="20"/>
        </w:rPr>
        <w:lastRenderedPageBreak/>
        <w:t>при заміні одного з компонентів складних об'єктів основних засобів виконані умови визнання матеріального активу, то відповідні витрати додаються до балансової вартості складного об'єкта, а операція по заміні розглядається як реалізація (вибуття) старого компонента.</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 xml:space="preserve"> У разі наявності факторів знецінення активів основні засоби </w:t>
      </w:r>
      <w:r w:rsidR="00FE1C8C" w:rsidRPr="000572AB">
        <w:rPr>
          <w:rFonts w:ascii="Times New Roman" w:hAnsi="Times New Roman"/>
          <w:sz w:val="20"/>
          <w:szCs w:val="20"/>
        </w:rPr>
        <w:t xml:space="preserve">відображуються </w:t>
      </w:r>
      <w:r w:rsidRPr="000572AB">
        <w:rPr>
          <w:rFonts w:ascii="Times New Roman" w:hAnsi="Times New Roman"/>
          <w:sz w:val="20"/>
          <w:szCs w:val="20"/>
        </w:rPr>
        <w:t>за мінусом збитків від знецінення згідно з МСБО 36 «Зменшення корисності активів».</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 xml:space="preserve"> Основні засоби, що призначені для продажу та відповідають критеріям визнання, обліковуються відповідно до МСФЗ 5 «Непоточні активи, утримувані для продажу, та припинена діяльність».</w:t>
      </w:r>
    </w:p>
    <w:p w:rsidR="00FE1C8C" w:rsidRPr="000572AB" w:rsidRDefault="00FE1C8C" w:rsidP="00D542E2">
      <w:pPr>
        <w:spacing w:after="0" w:line="240" w:lineRule="auto"/>
        <w:ind w:firstLine="709"/>
        <w:contextualSpacing/>
        <w:jc w:val="both"/>
        <w:rPr>
          <w:rFonts w:ascii="Times New Roman" w:hAnsi="Times New Roman"/>
          <w:sz w:val="20"/>
          <w:szCs w:val="20"/>
        </w:rPr>
      </w:pPr>
    </w:p>
    <w:p w:rsidR="00D161F9" w:rsidRPr="000572AB" w:rsidRDefault="00D161F9" w:rsidP="00D542E2">
      <w:pPr>
        <w:pStyle w:val="a"/>
        <w:rPr>
          <w:sz w:val="20"/>
          <w:szCs w:val="20"/>
        </w:rPr>
      </w:pPr>
      <w:r w:rsidRPr="000572AB">
        <w:rPr>
          <w:sz w:val="20"/>
          <w:szCs w:val="20"/>
        </w:rPr>
        <w:t>Нематеріальні активи</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Нематеріал</w:t>
      </w:r>
      <w:r w:rsidR="00FE1C8C" w:rsidRPr="000572AB">
        <w:rPr>
          <w:rFonts w:ascii="Times New Roman" w:hAnsi="Times New Roman"/>
          <w:sz w:val="20"/>
          <w:szCs w:val="20"/>
        </w:rPr>
        <w:t>ьні активи Товариства враховуються</w:t>
      </w:r>
      <w:r w:rsidRPr="000572AB">
        <w:rPr>
          <w:rFonts w:ascii="Times New Roman" w:hAnsi="Times New Roman"/>
          <w:sz w:val="20"/>
          <w:szCs w:val="20"/>
        </w:rPr>
        <w:t xml:space="preserve"> і відображ</w:t>
      </w:r>
      <w:r w:rsidR="00FE1C8C" w:rsidRPr="000572AB">
        <w:rPr>
          <w:rFonts w:ascii="Times New Roman" w:hAnsi="Times New Roman"/>
          <w:sz w:val="20"/>
          <w:szCs w:val="20"/>
        </w:rPr>
        <w:t>уються</w:t>
      </w:r>
      <w:r w:rsidRPr="000572AB">
        <w:rPr>
          <w:rFonts w:ascii="Times New Roman" w:hAnsi="Times New Roman"/>
          <w:sz w:val="20"/>
          <w:szCs w:val="20"/>
        </w:rPr>
        <w:t xml:space="preserve"> у фінансовій звітності згідно МСБО 38 «Нематеріальні активи».</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Немате</w:t>
      </w:r>
      <w:r w:rsidR="00FE1C8C" w:rsidRPr="000572AB">
        <w:rPr>
          <w:rFonts w:ascii="Times New Roman" w:hAnsi="Times New Roman"/>
          <w:sz w:val="20"/>
          <w:szCs w:val="20"/>
        </w:rPr>
        <w:t>ріальними активами визнаються</w:t>
      </w:r>
      <w:r w:rsidRPr="000572AB">
        <w:rPr>
          <w:rFonts w:ascii="Times New Roman" w:hAnsi="Times New Roman"/>
          <w:sz w:val="20"/>
          <w:szCs w:val="20"/>
        </w:rPr>
        <w:t xml:space="preserve"> контрольовані суспільством немонетарні активи, які не мають матеріальної форми, можуть бути ідентифіковані окремо від </w:t>
      </w:r>
      <w:r w:rsidR="00094AB4" w:rsidRPr="000572AB">
        <w:rPr>
          <w:rFonts w:ascii="Times New Roman" w:hAnsi="Times New Roman"/>
          <w:sz w:val="20"/>
          <w:szCs w:val="20"/>
        </w:rPr>
        <w:t>Товариства</w:t>
      </w:r>
      <w:r w:rsidRPr="000572AB">
        <w:rPr>
          <w:rFonts w:ascii="Times New Roman" w:hAnsi="Times New Roman"/>
          <w:sz w:val="20"/>
          <w:szCs w:val="20"/>
        </w:rPr>
        <w:t xml:space="preserve"> і використовуються </w:t>
      </w:r>
      <w:r w:rsidR="00094AB4" w:rsidRPr="000572AB">
        <w:rPr>
          <w:rFonts w:ascii="Times New Roman" w:hAnsi="Times New Roman"/>
          <w:sz w:val="20"/>
          <w:szCs w:val="20"/>
        </w:rPr>
        <w:t>Товариством</w:t>
      </w:r>
      <w:r w:rsidRPr="000572AB">
        <w:rPr>
          <w:rFonts w:ascii="Times New Roman" w:hAnsi="Times New Roman"/>
          <w:sz w:val="20"/>
          <w:szCs w:val="20"/>
        </w:rPr>
        <w:t xml:space="preserve"> протягом періоду більше 1 року (або операційного циклу) для </w:t>
      </w:r>
      <w:r w:rsidR="00BF3FC5" w:rsidRPr="000572AB">
        <w:rPr>
          <w:rFonts w:ascii="Times New Roman" w:hAnsi="Times New Roman"/>
          <w:sz w:val="20"/>
          <w:szCs w:val="20"/>
        </w:rPr>
        <w:t xml:space="preserve">надання </w:t>
      </w:r>
      <w:r w:rsidR="000C0B9A" w:rsidRPr="000572AB">
        <w:rPr>
          <w:rFonts w:ascii="Times New Roman" w:hAnsi="Times New Roman"/>
          <w:sz w:val="20"/>
          <w:szCs w:val="20"/>
        </w:rPr>
        <w:t>фінансових</w:t>
      </w:r>
      <w:r w:rsidRPr="000572AB">
        <w:rPr>
          <w:rFonts w:ascii="Times New Roman" w:hAnsi="Times New Roman"/>
          <w:sz w:val="20"/>
          <w:szCs w:val="20"/>
        </w:rPr>
        <w:t xml:space="preserve"> послуг, в адміністративних цілях або передачі в оренду іншим особам.</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Об'єкти нема</w:t>
      </w:r>
      <w:r w:rsidR="00FE1C8C" w:rsidRPr="000572AB">
        <w:rPr>
          <w:rFonts w:ascii="Times New Roman" w:hAnsi="Times New Roman"/>
          <w:sz w:val="20"/>
          <w:szCs w:val="20"/>
        </w:rPr>
        <w:t>теріальних активів класифікуються</w:t>
      </w:r>
      <w:r w:rsidRPr="000572AB">
        <w:rPr>
          <w:rFonts w:ascii="Times New Roman" w:hAnsi="Times New Roman"/>
          <w:sz w:val="20"/>
          <w:szCs w:val="20"/>
        </w:rPr>
        <w:t xml:space="preserve"> за окремими групами:</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w:t>
      </w:r>
      <w:r w:rsidRPr="000572AB">
        <w:rPr>
          <w:rFonts w:ascii="Times New Roman" w:hAnsi="Times New Roman"/>
          <w:sz w:val="20"/>
          <w:szCs w:val="20"/>
        </w:rPr>
        <w:tab/>
        <w:t xml:space="preserve"> гудвіл;</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w:t>
      </w:r>
      <w:r w:rsidRPr="000572AB">
        <w:rPr>
          <w:rFonts w:ascii="Times New Roman" w:hAnsi="Times New Roman"/>
          <w:sz w:val="20"/>
          <w:szCs w:val="20"/>
        </w:rPr>
        <w:tab/>
        <w:t xml:space="preserve"> авторські права (в т.</w:t>
      </w:r>
      <w:r w:rsidR="00A37256" w:rsidRPr="000572AB">
        <w:rPr>
          <w:rFonts w:ascii="Times New Roman" w:hAnsi="Times New Roman"/>
          <w:sz w:val="20"/>
          <w:szCs w:val="20"/>
          <w:lang w:val="ru-RU"/>
        </w:rPr>
        <w:t xml:space="preserve"> </w:t>
      </w:r>
      <w:r w:rsidRPr="000572AB">
        <w:rPr>
          <w:rFonts w:ascii="Times New Roman" w:hAnsi="Times New Roman"/>
          <w:sz w:val="20"/>
          <w:szCs w:val="20"/>
        </w:rPr>
        <w:t>ч. на програмне забезпечення);</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w:t>
      </w:r>
      <w:r w:rsidRPr="000572AB">
        <w:rPr>
          <w:rFonts w:ascii="Times New Roman" w:hAnsi="Times New Roman"/>
          <w:sz w:val="20"/>
          <w:szCs w:val="20"/>
        </w:rPr>
        <w:tab/>
        <w:t xml:space="preserve"> ліцензії;</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w:t>
      </w:r>
      <w:r w:rsidRPr="000572AB">
        <w:rPr>
          <w:rFonts w:ascii="Times New Roman" w:hAnsi="Times New Roman"/>
          <w:sz w:val="20"/>
          <w:szCs w:val="20"/>
        </w:rPr>
        <w:tab/>
        <w:t xml:space="preserve"> торгові марки, включаючи бренди і назви публікацій.</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Програмне забезпечення, яке є невід'ємним і необхідним для забезпечення робо</w:t>
      </w:r>
      <w:r w:rsidR="00FE1C8C" w:rsidRPr="000572AB">
        <w:rPr>
          <w:rFonts w:ascii="Times New Roman" w:hAnsi="Times New Roman"/>
          <w:sz w:val="20"/>
          <w:szCs w:val="20"/>
        </w:rPr>
        <w:t>ти основних засобів, враховується</w:t>
      </w:r>
      <w:r w:rsidRPr="000572AB">
        <w:rPr>
          <w:rFonts w:ascii="Times New Roman" w:hAnsi="Times New Roman"/>
          <w:sz w:val="20"/>
          <w:szCs w:val="20"/>
        </w:rPr>
        <w:t xml:space="preserve"> у складі цих об'єктів.</w:t>
      </w:r>
    </w:p>
    <w:p w:rsidR="00D161F9" w:rsidRPr="000572AB" w:rsidRDefault="00FE1C8C"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Нематеріальні активи оцінюються</w:t>
      </w:r>
      <w:r w:rsidR="00D161F9" w:rsidRPr="000572AB">
        <w:rPr>
          <w:rFonts w:ascii="Times New Roman" w:hAnsi="Times New Roman"/>
          <w:sz w:val="20"/>
          <w:szCs w:val="20"/>
        </w:rPr>
        <w:t xml:space="preserve"> за первісною вартістю (собівартістю), яка включає в себе вартість придбання і витрати пов'язані з доведенням нематеріальних активів до експлуатації.</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Витрати на придбання окремо придбаного нематеріального активу містять:</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а) ціну його придбання, включаючи ввізне мито та невідшкодовані податки на придбання після вирахування торгівельних та інших знижок;</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б) будь-які витрати, які можна прямо віднести до підготовки цього активу для використання за призначенням.</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Подальші витрати на нематеріальний актив збільшують собівартість нематеріального активу, якщо:</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w:t>
      </w:r>
      <w:r w:rsidRPr="000572AB">
        <w:rPr>
          <w:rFonts w:ascii="Times New Roman" w:hAnsi="Times New Roman"/>
          <w:sz w:val="20"/>
          <w:szCs w:val="20"/>
        </w:rPr>
        <w:tab/>
        <w:t xml:space="preserve"> існує ймовірність того, що ці витрати призведуть до генерування активом майбутніх економічних вигод, які перевищать його спочатку оцінений рівень ефективності;</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w:t>
      </w:r>
      <w:r w:rsidRPr="000572AB">
        <w:rPr>
          <w:rFonts w:ascii="Times New Roman" w:hAnsi="Times New Roman"/>
          <w:sz w:val="20"/>
          <w:szCs w:val="20"/>
        </w:rPr>
        <w:tab/>
        <w:t xml:space="preserve"> ці витрати можна достовірно оцінити та віднести до відповідного активу.</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Якщо наступні витрати на нематеріальний актив необхідні для підтримки спочатку оціненої ефективності активу, вони визнаються витратами періоду.</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Нематеріальні активи амортизуються прямолінійним методом протягом очікуваного строку їх використання, але не більше 10 років. Нарахування амортизації починається з моменту коли цей нематеріальний актив знаходиться у місці та у стані, необхідному для його використання у спосіб передбачений комісією.</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Очікуваний строк корисного використання нематеріальних активів визначається при їх зарахуванні на облік інвентаризаційною комісією, призначеною Директором Товариства, виходячи з:</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w:t>
      </w:r>
      <w:r w:rsidRPr="000572AB">
        <w:rPr>
          <w:rFonts w:ascii="Times New Roman" w:hAnsi="Times New Roman"/>
          <w:sz w:val="20"/>
          <w:szCs w:val="20"/>
        </w:rPr>
        <w:tab/>
        <w:t xml:space="preserve"> очікуваного морального зносу, правових або інших обмежень щодо строків використання або інших факторів;</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w:t>
      </w:r>
      <w:r w:rsidRPr="000572AB">
        <w:rPr>
          <w:rFonts w:ascii="Times New Roman" w:hAnsi="Times New Roman"/>
          <w:sz w:val="20"/>
          <w:szCs w:val="20"/>
        </w:rPr>
        <w:tab/>
        <w:t xml:space="preserve"> строків використання подібних активів, затверджених Директором Товариства.</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 xml:space="preserve">Строк корисної експлуатації нематеріального активу, який походить від договірних чи </w:t>
      </w:r>
      <w:r w:rsidR="00FE1C8C" w:rsidRPr="000572AB">
        <w:rPr>
          <w:rFonts w:ascii="Times New Roman" w:hAnsi="Times New Roman"/>
          <w:sz w:val="20"/>
          <w:szCs w:val="20"/>
        </w:rPr>
        <w:t>інших юридичних прав, не</w:t>
      </w:r>
      <w:r w:rsidRPr="000572AB">
        <w:rPr>
          <w:rFonts w:ascii="Times New Roman" w:hAnsi="Times New Roman"/>
          <w:sz w:val="20"/>
          <w:szCs w:val="20"/>
        </w:rPr>
        <w:t xml:space="preserve"> перевищу</w:t>
      </w:r>
      <w:r w:rsidR="00FE1C8C" w:rsidRPr="000572AB">
        <w:rPr>
          <w:rFonts w:ascii="Times New Roman" w:hAnsi="Times New Roman"/>
          <w:sz w:val="20"/>
          <w:szCs w:val="20"/>
        </w:rPr>
        <w:t>є</w:t>
      </w:r>
      <w:r w:rsidRPr="000572AB">
        <w:rPr>
          <w:rFonts w:ascii="Times New Roman" w:hAnsi="Times New Roman"/>
          <w:sz w:val="20"/>
          <w:szCs w:val="20"/>
        </w:rPr>
        <w:t xml:space="preserve"> період чинності договірних або інших юридичних прав, але може бути коротшим від терміну їх чинності залежно від періоду, протягом якого суб'єкт господарювання очікує використовувати цей актив.</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Якщо договірні або інші юридичні права надаються на обмежений строк, який може бути подовженим, строк корисної експлуатації нематеріального активу включ</w:t>
      </w:r>
      <w:r w:rsidR="00FE1C8C" w:rsidRPr="000572AB">
        <w:rPr>
          <w:rFonts w:ascii="Times New Roman" w:hAnsi="Times New Roman"/>
          <w:sz w:val="20"/>
          <w:szCs w:val="20"/>
        </w:rPr>
        <w:t>ає</w:t>
      </w:r>
      <w:r w:rsidRPr="000572AB">
        <w:rPr>
          <w:rFonts w:ascii="Times New Roman" w:hAnsi="Times New Roman"/>
          <w:sz w:val="20"/>
          <w:szCs w:val="20"/>
        </w:rPr>
        <w:t xml:space="preserve"> такі періоди (період) поновлення, тільки якщо є свідчення, які підтверджують можливість поновлення суб'єктом господарювання без суттєвих витрат.</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Період і метод амортизації нематеріального активу з визначеним строком к</w:t>
      </w:r>
      <w:r w:rsidR="00FE1C8C" w:rsidRPr="000572AB">
        <w:rPr>
          <w:rFonts w:ascii="Times New Roman" w:hAnsi="Times New Roman"/>
          <w:sz w:val="20"/>
          <w:szCs w:val="20"/>
        </w:rPr>
        <w:t>орисної експлуатації переглядається</w:t>
      </w:r>
      <w:r w:rsidRPr="000572AB">
        <w:rPr>
          <w:rFonts w:ascii="Times New Roman" w:hAnsi="Times New Roman"/>
          <w:sz w:val="20"/>
          <w:szCs w:val="20"/>
        </w:rPr>
        <w:t xml:space="preserve"> на кінець кожного фінансового року.</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Нематеріальні активи з невизначеним строком корисної експлуатації (безстрокові ліцензії) - не амортизуються.</w:t>
      </w:r>
    </w:p>
    <w:p w:rsidR="00FE1C8C" w:rsidRPr="000572AB" w:rsidRDefault="00FE1C8C" w:rsidP="00D542E2">
      <w:pPr>
        <w:spacing w:after="0" w:line="240" w:lineRule="auto"/>
        <w:ind w:firstLine="709"/>
        <w:contextualSpacing/>
        <w:jc w:val="both"/>
        <w:rPr>
          <w:rFonts w:ascii="Times New Roman" w:hAnsi="Times New Roman"/>
          <w:b/>
          <w:sz w:val="20"/>
          <w:szCs w:val="20"/>
        </w:rPr>
      </w:pPr>
    </w:p>
    <w:p w:rsidR="00D161F9" w:rsidRPr="000572AB" w:rsidRDefault="00D161F9" w:rsidP="00D542E2">
      <w:pPr>
        <w:pStyle w:val="a"/>
        <w:rPr>
          <w:sz w:val="20"/>
          <w:szCs w:val="20"/>
        </w:rPr>
      </w:pPr>
      <w:r w:rsidRPr="000572AB">
        <w:rPr>
          <w:sz w:val="20"/>
          <w:szCs w:val="20"/>
        </w:rPr>
        <w:t xml:space="preserve"> Запаси</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Облік і відображення у фінансов</w:t>
      </w:r>
      <w:r w:rsidR="00FE1C8C" w:rsidRPr="000572AB">
        <w:rPr>
          <w:rFonts w:ascii="Times New Roman" w:hAnsi="Times New Roman"/>
          <w:sz w:val="20"/>
          <w:szCs w:val="20"/>
        </w:rPr>
        <w:t>ій звітності запасів здійснюється</w:t>
      </w:r>
      <w:r w:rsidRPr="000572AB">
        <w:rPr>
          <w:rFonts w:ascii="Times New Roman" w:hAnsi="Times New Roman"/>
          <w:sz w:val="20"/>
          <w:szCs w:val="20"/>
        </w:rPr>
        <w:t xml:space="preserve"> відповідно до МСБО 2 «Запаси».</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Запаси - це активи, які:</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w:t>
      </w:r>
      <w:r w:rsidRPr="000572AB">
        <w:rPr>
          <w:rFonts w:ascii="Times New Roman" w:hAnsi="Times New Roman"/>
          <w:sz w:val="20"/>
          <w:szCs w:val="20"/>
        </w:rPr>
        <w:tab/>
        <w:t xml:space="preserve"> перебувають у процесі надання факторингових послуг;</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w:t>
      </w:r>
      <w:r w:rsidRPr="000572AB">
        <w:rPr>
          <w:rFonts w:ascii="Times New Roman" w:hAnsi="Times New Roman"/>
          <w:sz w:val="20"/>
          <w:szCs w:val="20"/>
        </w:rPr>
        <w:tab/>
        <w:t xml:space="preserve"> існують у формі сировини та інших матеріалів, призначених для споживання у процесі надання послуг;</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lastRenderedPageBreak/>
        <w:t>•</w:t>
      </w:r>
      <w:r w:rsidRPr="000572AB">
        <w:rPr>
          <w:rFonts w:ascii="Times New Roman" w:hAnsi="Times New Roman"/>
          <w:sz w:val="20"/>
          <w:szCs w:val="20"/>
        </w:rPr>
        <w:tab/>
        <w:t xml:space="preserve"> утримуються для продажу.</w:t>
      </w:r>
    </w:p>
    <w:p w:rsidR="00D161F9" w:rsidRPr="000572AB" w:rsidRDefault="00FE1C8C"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Запаси враховуються</w:t>
      </w:r>
      <w:r w:rsidR="00D161F9" w:rsidRPr="000572AB">
        <w:rPr>
          <w:rFonts w:ascii="Times New Roman" w:hAnsi="Times New Roman"/>
          <w:sz w:val="20"/>
          <w:szCs w:val="20"/>
        </w:rPr>
        <w:t xml:space="preserve"> за однорідними групами.</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Запаси в</w:t>
      </w:r>
      <w:r w:rsidR="00FE1C8C" w:rsidRPr="000572AB">
        <w:rPr>
          <w:rFonts w:ascii="Times New Roman" w:hAnsi="Times New Roman"/>
          <w:sz w:val="20"/>
          <w:szCs w:val="20"/>
        </w:rPr>
        <w:t>ідображаються</w:t>
      </w:r>
      <w:r w:rsidRPr="000572AB">
        <w:rPr>
          <w:rFonts w:ascii="Times New Roman" w:hAnsi="Times New Roman"/>
          <w:sz w:val="20"/>
          <w:szCs w:val="20"/>
        </w:rPr>
        <w:t xml:space="preserve"> у фінансовій звітності за найменшою з двох оцінок: собівартістю або чистою вартістю реалізації.</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Собівартість запасів включає всі витрати на придбання, переробку та інші витрати, що виникли під час доставки запасів до їх теперішнього місцезнаходження та приведення їх у теперішній стан.</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Витрати на придбання:</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w:t>
      </w:r>
      <w:r w:rsidRPr="000572AB">
        <w:rPr>
          <w:rFonts w:ascii="Times New Roman" w:hAnsi="Times New Roman"/>
          <w:sz w:val="20"/>
          <w:szCs w:val="20"/>
        </w:rPr>
        <w:tab/>
        <w:t xml:space="preserve"> ціна закупки;</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w:t>
      </w:r>
      <w:r w:rsidRPr="000572AB">
        <w:rPr>
          <w:rFonts w:ascii="Times New Roman" w:hAnsi="Times New Roman"/>
          <w:sz w:val="20"/>
          <w:szCs w:val="20"/>
        </w:rPr>
        <w:tab/>
        <w:t xml:space="preserve"> ввізне мито та інші податки, що не відшкодовуються товариству;</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w:t>
      </w:r>
      <w:r w:rsidRPr="000572AB">
        <w:rPr>
          <w:rFonts w:ascii="Times New Roman" w:hAnsi="Times New Roman"/>
          <w:sz w:val="20"/>
          <w:szCs w:val="20"/>
        </w:rPr>
        <w:tab/>
        <w:t xml:space="preserve"> транспортно-заготівельні витрати, які пов'язанні з придбанням товарів.</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Чиста вартість реалізації - це можлива ціна реалізації в ході звичайної діяльності Товариства за вирахуванням розрахункових витрат по продажу.</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Причинами списання запасів до чистої вартості реалізації є:</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w:t>
      </w:r>
      <w:r w:rsidRPr="000572AB">
        <w:rPr>
          <w:rFonts w:ascii="Times New Roman" w:hAnsi="Times New Roman"/>
          <w:sz w:val="20"/>
          <w:szCs w:val="20"/>
        </w:rPr>
        <w:tab/>
        <w:t xml:space="preserve"> пошкодження;</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w:t>
      </w:r>
      <w:r w:rsidRPr="000572AB">
        <w:rPr>
          <w:rFonts w:ascii="Times New Roman" w:hAnsi="Times New Roman"/>
          <w:sz w:val="20"/>
          <w:szCs w:val="20"/>
        </w:rPr>
        <w:tab/>
        <w:t xml:space="preserve"> часткове або повне застаріння;</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w:t>
      </w:r>
      <w:r w:rsidRPr="000572AB">
        <w:rPr>
          <w:rFonts w:ascii="Times New Roman" w:hAnsi="Times New Roman"/>
          <w:sz w:val="20"/>
          <w:szCs w:val="20"/>
        </w:rPr>
        <w:tab/>
        <w:t xml:space="preserve"> зниження цін;</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w:t>
      </w:r>
      <w:r w:rsidRPr="000572AB">
        <w:rPr>
          <w:rFonts w:ascii="Times New Roman" w:hAnsi="Times New Roman"/>
          <w:sz w:val="20"/>
          <w:szCs w:val="20"/>
        </w:rPr>
        <w:tab/>
        <w:t xml:space="preserve"> зростання очікуваних витрат на завершення надання послуг.</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При продажу або іншому вибутті запасів оцінка їх здійснюється за методом ідентифікованої собівартості.</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Вартість малоцінних та швидкозношуваних предметів, що передані в експлуатацію, списується з балансу з подальшою організацією оперативного кількісного обліку таких предметів за місцями експлуатації відповідальними особами протягом строку їх фактичного використання.</w:t>
      </w:r>
    </w:p>
    <w:p w:rsidR="00D161F9" w:rsidRPr="000572AB" w:rsidRDefault="00FE1C8C"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Сума</w:t>
      </w:r>
      <w:r w:rsidR="00D161F9" w:rsidRPr="000572AB">
        <w:rPr>
          <w:rFonts w:ascii="Times New Roman" w:hAnsi="Times New Roman"/>
          <w:sz w:val="20"/>
          <w:szCs w:val="20"/>
        </w:rPr>
        <w:t xml:space="preserve"> транспортно-</w:t>
      </w:r>
      <w:r w:rsidRPr="000572AB">
        <w:rPr>
          <w:rFonts w:ascii="Times New Roman" w:hAnsi="Times New Roman"/>
          <w:sz w:val="20"/>
          <w:szCs w:val="20"/>
        </w:rPr>
        <w:t>заготівельних витрат враховується</w:t>
      </w:r>
      <w:r w:rsidR="00D161F9" w:rsidRPr="000572AB">
        <w:rPr>
          <w:rFonts w:ascii="Times New Roman" w:hAnsi="Times New Roman"/>
          <w:sz w:val="20"/>
          <w:szCs w:val="20"/>
        </w:rPr>
        <w:t xml:space="preserve"> в бухгалтерському обліку методом прямого обліку – вкл</w:t>
      </w:r>
      <w:r w:rsidRPr="000572AB">
        <w:rPr>
          <w:rFonts w:ascii="Times New Roman" w:hAnsi="Times New Roman"/>
          <w:sz w:val="20"/>
          <w:szCs w:val="20"/>
        </w:rPr>
        <w:t>ючається</w:t>
      </w:r>
      <w:r w:rsidR="00D161F9" w:rsidRPr="000572AB">
        <w:rPr>
          <w:rFonts w:ascii="Times New Roman" w:hAnsi="Times New Roman"/>
          <w:sz w:val="20"/>
          <w:szCs w:val="20"/>
        </w:rPr>
        <w:t xml:space="preserve"> до первісної вартості придбаних запасів при їх оприбуткуванні. Транспортно-заготівельні витрати, понесені при придбанні різн</w:t>
      </w:r>
      <w:r w:rsidRPr="000572AB">
        <w:rPr>
          <w:rFonts w:ascii="Times New Roman" w:hAnsi="Times New Roman"/>
          <w:sz w:val="20"/>
          <w:szCs w:val="20"/>
        </w:rPr>
        <w:t>их найменувань запасів, включається</w:t>
      </w:r>
      <w:r w:rsidR="00D161F9" w:rsidRPr="000572AB">
        <w:rPr>
          <w:rFonts w:ascii="Times New Roman" w:hAnsi="Times New Roman"/>
          <w:sz w:val="20"/>
          <w:szCs w:val="20"/>
        </w:rPr>
        <w:t xml:space="preserve"> до первісної вартості таких запасів шляхом їх розподілу пропорційно вартості придбаних запасів у постачальників. Облік транспортно-заготівельних витрат по кожному </w:t>
      </w:r>
      <w:r w:rsidRPr="000572AB">
        <w:rPr>
          <w:rFonts w:ascii="Times New Roman" w:hAnsi="Times New Roman"/>
          <w:sz w:val="20"/>
          <w:szCs w:val="20"/>
        </w:rPr>
        <w:t>виду запасів (або загалом) ведеться</w:t>
      </w:r>
      <w:r w:rsidR="00D161F9" w:rsidRPr="000572AB">
        <w:rPr>
          <w:rFonts w:ascii="Times New Roman" w:hAnsi="Times New Roman"/>
          <w:sz w:val="20"/>
          <w:szCs w:val="20"/>
        </w:rPr>
        <w:t xml:space="preserve"> без використання окремого субрахунку.</w:t>
      </w:r>
    </w:p>
    <w:p w:rsidR="0010221B" w:rsidRPr="000572AB" w:rsidRDefault="0010221B" w:rsidP="00D542E2">
      <w:pPr>
        <w:spacing w:after="0" w:line="240" w:lineRule="auto"/>
        <w:ind w:firstLine="709"/>
        <w:contextualSpacing/>
        <w:jc w:val="both"/>
        <w:rPr>
          <w:rFonts w:ascii="Times New Roman" w:hAnsi="Times New Roman"/>
          <w:sz w:val="20"/>
          <w:szCs w:val="20"/>
        </w:rPr>
      </w:pPr>
    </w:p>
    <w:p w:rsidR="00D161F9" w:rsidRPr="000572AB" w:rsidRDefault="00D161F9" w:rsidP="00D542E2">
      <w:pPr>
        <w:pStyle w:val="a"/>
        <w:rPr>
          <w:sz w:val="20"/>
          <w:szCs w:val="20"/>
        </w:rPr>
      </w:pPr>
      <w:r w:rsidRPr="000572AB">
        <w:rPr>
          <w:sz w:val="20"/>
          <w:szCs w:val="20"/>
        </w:rPr>
        <w:t>Облік грошових коштів</w:t>
      </w:r>
      <w:r w:rsidR="00434BF7" w:rsidRPr="000572AB">
        <w:rPr>
          <w:sz w:val="20"/>
          <w:szCs w:val="20"/>
        </w:rPr>
        <w:t xml:space="preserve"> та фінансових інструментів</w:t>
      </w:r>
    </w:p>
    <w:p w:rsidR="00524461" w:rsidRPr="000572AB" w:rsidRDefault="00524461" w:rsidP="00D542E2">
      <w:pPr>
        <w:numPr>
          <w:ilvl w:val="1"/>
          <w:numId w:val="12"/>
        </w:numPr>
        <w:shd w:val="clear" w:color="auto" w:fill="FFFFFF"/>
        <w:spacing w:after="0" w:line="240" w:lineRule="auto"/>
        <w:rPr>
          <w:rFonts w:ascii="Times New Roman" w:hAnsi="Times New Roman"/>
          <w:b/>
          <w:bCs/>
          <w:spacing w:val="2"/>
          <w:sz w:val="20"/>
          <w:szCs w:val="20"/>
        </w:rPr>
      </w:pPr>
      <w:r w:rsidRPr="000572AB">
        <w:rPr>
          <w:rFonts w:ascii="Times New Roman" w:hAnsi="Times New Roman"/>
          <w:b/>
          <w:bCs/>
          <w:spacing w:val="2"/>
          <w:sz w:val="20"/>
          <w:szCs w:val="20"/>
        </w:rPr>
        <w:t>Визнання та оцінка фінансових інструментів</w:t>
      </w:r>
    </w:p>
    <w:p w:rsidR="00524461" w:rsidRPr="000572AB" w:rsidRDefault="00524461"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572AB">
        <w:rPr>
          <w:rFonts w:ascii="Times New Roman" w:hAnsi="Times New Roman"/>
          <w:sz w:val="20"/>
          <w:szCs w:val="20"/>
        </w:rPr>
        <w:t>Товариство визнає фінансовий актив або фінансове зобов'язання у балансі, коли і тільки коли воно стає стороною контрактних положень щодо фінансового інструмента. Операції з придбання або продажу фінансових інструментів визнаються із застосуванням обліку за датою розрахунку.</w:t>
      </w:r>
    </w:p>
    <w:p w:rsidR="00524461" w:rsidRPr="000572AB" w:rsidRDefault="00524461" w:rsidP="00D542E2">
      <w:pPr>
        <w:spacing w:after="0" w:line="240" w:lineRule="auto"/>
        <w:ind w:firstLine="709"/>
        <w:jc w:val="both"/>
        <w:rPr>
          <w:rFonts w:ascii="Times New Roman" w:hAnsi="Times New Roman"/>
          <w:bCs/>
          <w:sz w:val="20"/>
          <w:szCs w:val="20"/>
        </w:rPr>
      </w:pPr>
      <w:r w:rsidRPr="000572AB">
        <w:rPr>
          <w:rFonts w:ascii="Times New Roman" w:hAnsi="Times New Roman"/>
          <w:bCs/>
          <w:sz w:val="20"/>
          <w:szCs w:val="20"/>
        </w:rPr>
        <w:t xml:space="preserve">Фінансові інструменти обліковуються відповідно до МСБО 32 «Фінансові інструменти: подання» і 39 «Фінансові інструменти: визнання та оцінка». </w:t>
      </w:r>
    </w:p>
    <w:p w:rsidR="00524461" w:rsidRPr="000572AB" w:rsidRDefault="00524461" w:rsidP="00D542E2">
      <w:pPr>
        <w:spacing w:after="0" w:line="240" w:lineRule="auto"/>
        <w:ind w:firstLine="709"/>
        <w:jc w:val="both"/>
        <w:rPr>
          <w:rFonts w:ascii="Times New Roman" w:hAnsi="Times New Roman"/>
          <w:bCs/>
          <w:sz w:val="20"/>
          <w:szCs w:val="20"/>
        </w:rPr>
      </w:pPr>
      <w:r w:rsidRPr="000572AB">
        <w:rPr>
          <w:rFonts w:ascii="Times New Roman" w:hAnsi="Times New Roman"/>
          <w:bCs/>
          <w:sz w:val="20"/>
          <w:szCs w:val="20"/>
        </w:rPr>
        <w:t>Товариство не застосовує Міжнародний стандарт фінансової звітності 9 "Фінансові інструменти" до набрання ним чинності.</w:t>
      </w:r>
    </w:p>
    <w:p w:rsidR="00524461" w:rsidRPr="000572AB" w:rsidRDefault="00524461" w:rsidP="00D542E2">
      <w:pPr>
        <w:spacing w:after="0" w:line="240" w:lineRule="auto"/>
        <w:ind w:firstLine="709"/>
        <w:jc w:val="both"/>
        <w:rPr>
          <w:rFonts w:ascii="Times New Roman" w:hAnsi="Times New Roman"/>
          <w:bCs/>
          <w:sz w:val="20"/>
          <w:szCs w:val="20"/>
        </w:rPr>
      </w:pPr>
      <w:r w:rsidRPr="000572AB">
        <w:rPr>
          <w:rFonts w:ascii="Times New Roman" w:hAnsi="Times New Roman"/>
          <w:bCs/>
          <w:sz w:val="20"/>
          <w:szCs w:val="20"/>
        </w:rPr>
        <w:t>З метою складання фінансової звітності фінансові інструменти класифікуються за 4 категоріями:</w:t>
      </w:r>
    </w:p>
    <w:p w:rsidR="00524461" w:rsidRPr="000572AB" w:rsidRDefault="00524461" w:rsidP="00D542E2">
      <w:pPr>
        <w:spacing w:after="0" w:line="240" w:lineRule="auto"/>
        <w:ind w:firstLine="709"/>
        <w:jc w:val="both"/>
        <w:rPr>
          <w:rFonts w:ascii="Times New Roman" w:hAnsi="Times New Roman"/>
          <w:bCs/>
          <w:sz w:val="20"/>
          <w:szCs w:val="20"/>
        </w:rPr>
      </w:pPr>
      <w:r w:rsidRPr="000572AB">
        <w:rPr>
          <w:rFonts w:ascii="Times New Roman" w:hAnsi="Times New Roman"/>
          <w:bCs/>
          <w:sz w:val="20"/>
          <w:szCs w:val="20"/>
        </w:rPr>
        <w:t>- Інвестиції, утримувані до погашення - це непохідні фінансові активи з фіксованими платежами або платежами, які підлягають визначенню, а також фіксованим строком погашення, що Товариство має реальний намір та здатність утримувати до погашення;</w:t>
      </w:r>
    </w:p>
    <w:p w:rsidR="00524461" w:rsidRPr="000572AB" w:rsidRDefault="00524461" w:rsidP="00D542E2">
      <w:pPr>
        <w:spacing w:after="0" w:line="240" w:lineRule="auto"/>
        <w:ind w:firstLine="709"/>
        <w:jc w:val="both"/>
        <w:rPr>
          <w:rFonts w:ascii="Times New Roman" w:hAnsi="Times New Roman"/>
          <w:bCs/>
          <w:sz w:val="20"/>
          <w:szCs w:val="20"/>
        </w:rPr>
      </w:pPr>
      <w:r w:rsidRPr="000572AB">
        <w:rPr>
          <w:rFonts w:ascii="Times New Roman" w:hAnsi="Times New Roman"/>
          <w:bCs/>
          <w:sz w:val="20"/>
          <w:szCs w:val="20"/>
        </w:rPr>
        <w:t>- Позики та дебіторська заборгованість - це непохідні фінансові активи з фіксованими платежами або платежами, які підлягають визначенню та не мають котирування на активному ринку, за винятком тих:</w:t>
      </w:r>
    </w:p>
    <w:p w:rsidR="00524461" w:rsidRPr="000572AB" w:rsidRDefault="00524461" w:rsidP="00D542E2">
      <w:pPr>
        <w:spacing w:after="0" w:line="240" w:lineRule="auto"/>
        <w:ind w:firstLine="709"/>
        <w:jc w:val="both"/>
        <w:rPr>
          <w:rFonts w:ascii="Times New Roman" w:hAnsi="Times New Roman"/>
          <w:bCs/>
          <w:sz w:val="20"/>
          <w:szCs w:val="20"/>
        </w:rPr>
      </w:pPr>
      <w:r w:rsidRPr="000572AB">
        <w:rPr>
          <w:rFonts w:ascii="Times New Roman" w:hAnsi="Times New Roman"/>
          <w:bCs/>
          <w:sz w:val="20"/>
          <w:szCs w:val="20"/>
        </w:rPr>
        <w:t>а) що Товариство має намір продати негайно або в найближчий час, які класифікуються як утримувані для продажу, а також тих, що їх Товариство визначає за справедливою вартістю з відображенням переоцінки як прибутку або збитку;</w:t>
      </w:r>
    </w:p>
    <w:p w:rsidR="00524461" w:rsidRPr="000572AB" w:rsidRDefault="00524461" w:rsidP="00D542E2">
      <w:pPr>
        <w:spacing w:after="0" w:line="240" w:lineRule="auto"/>
        <w:ind w:firstLine="709"/>
        <w:jc w:val="both"/>
        <w:rPr>
          <w:rFonts w:ascii="Times New Roman" w:hAnsi="Times New Roman"/>
          <w:bCs/>
          <w:sz w:val="20"/>
          <w:szCs w:val="20"/>
        </w:rPr>
      </w:pPr>
      <w:r w:rsidRPr="000572AB">
        <w:rPr>
          <w:rFonts w:ascii="Times New Roman" w:hAnsi="Times New Roman"/>
          <w:bCs/>
          <w:sz w:val="20"/>
          <w:szCs w:val="20"/>
        </w:rPr>
        <w:t>б) що їх Товариство після первісного визнання визначає як доступні для продажу,</w:t>
      </w:r>
    </w:p>
    <w:p w:rsidR="00524461" w:rsidRPr="000572AB" w:rsidRDefault="00524461" w:rsidP="00D542E2">
      <w:pPr>
        <w:spacing w:after="0" w:line="240" w:lineRule="auto"/>
        <w:ind w:firstLine="709"/>
        <w:jc w:val="both"/>
        <w:rPr>
          <w:rFonts w:ascii="Times New Roman" w:hAnsi="Times New Roman"/>
          <w:bCs/>
          <w:sz w:val="20"/>
          <w:szCs w:val="20"/>
        </w:rPr>
      </w:pPr>
      <w:r w:rsidRPr="000572AB">
        <w:rPr>
          <w:rFonts w:ascii="Times New Roman" w:hAnsi="Times New Roman"/>
          <w:bCs/>
          <w:sz w:val="20"/>
          <w:szCs w:val="20"/>
        </w:rPr>
        <w:t>або</w:t>
      </w:r>
    </w:p>
    <w:p w:rsidR="00524461" w:rsidRPr="000572AB" w:rsidRDefault="00524461" w:rsidP="00D542E2">
      <w:pPr>
        <w:spacing w:after="0" w:line="240" w:lineRule="auto"/>
        <w:ind w:firstLine="709"/>
        <w:jc w:val="both"/>
        <w:rPr>
          <w:rFonts w:ascii="Times New Roman" w:hAnsi="Times New Roman"/>
          <w:bCs/>
          <w:sz w:val="20"/>
          <w:szCs w:val="20"/>
        </w:rPr>
      </w:pPr>
      <w:r w:rsidRPr="000572AB">
        <w:rPr>
          <w:rFonts w:ascii="Times New Roman" w:hAnsi="Times New Roman"/>
          <w:bCs/>
          <w:sz w:val="20"/>
          <w:szCs w:val="20"/>
        </w:rPr>
        <w:t>в) щодо яких Товариство може не відшкодувати значною частиною всю суму початкової інвестиції, з інших причин, ніж зменшення кредиту, які класифіковано, як доступні для продажу.</w:t>
      </w:r>
    </w:p>
    <w:p w:rsidR="00524461" w:rsidRPr="000572AB" w:rsidRDefault="00524461" w:rsidP="00D542E2">
      <w:pPr>
        <w:spacing w:after="0" w:line="240" w:lineRule="auto"/>
        <w:ind w:firstLine="709"/>
        <w:jc w:val="both"/>
        <w:rPr>
          <w:rFonts w:ascii="Times New Roman" w:hAnsi="Times New Roman"/>
          <w:bCs/>
          <w:sz w:val="20"/>
          <w:szCs w:val="20"/>
        </w:rPr>
      </w:pPr>
      <w:r w:rsidRPr="000572AB">
        <w:rPr>
          <w:rFonts w:ascii="Times New Roman" w:hAnsi="Times New Roman"/>
          <w:bCs/>
          <w:sz w:val="20"/>
          <w:szCs w:val="20"/>
        </w:rPr>
        <w:t>- Фінансовий актив або фінансове зобов'язання за справедливою вартістю, з відображенням переоцінки як прибутку або збитку;</w:t>
      </w:r>
    </w:p>
    <w:p w:rsidR="00524461" w:rsidRPr="000572AB" w:rsidRDefault="00524461" w:rsidP="00D542E2">
      <w:pPr>
        <w:spacing w:after="0" w:line="240" w:lineRule="auto"/>
        <w:ind w:firstLine="709"/>
        <w:jc w:val="both"/>
        <w:rPr>
          <w:rFonts w:ascii="Times New Roman" w:hAnsi="Times New Roman"/>
          <w:bCs/>
          <w:sz w:val="20"/>
          <w:szCs w:val="20"/>
        </w:rPr>
      </w:pPr>
      <w:r w:rsidRPr="000572AB">
        <w:rPr>
          <w:rFonts w:ascii="Times New Roman" w:hAnsi="Times New Roman"/>
          <w:bCs/>
          <w:sz w:val="20"/>
          <w:szCs w:val="20"/>
        </w:rPr>
        <w:t>- Фінансові активи, доступні для продажу - це непохідні фінансові активи, призначені як доступні для продажу і не класифіковані як: а) позики та дебіторська заборгованість; б) утримувані до строку погашення інвестиції або в) фінансові активи за справедливою вартістю з відображенням переоцінки як прибутку або збитку.</w:t>
      </w:r>
    </w:p>
    <w:p w:rsidR="00524461" w:rsidRPr="000572AB" w:rsidRDefault="00524461" w:rsidP="00D542E2">
      <w:pPr>
        <w:spacing w:after="0" w:line="240" w:lineRule="auto"/>
        <w:ind w:firstLine="709"/>
        <w:jc w:val="both"/>
        <w:rPr>
          <w:rFonts w:ascii="Times New Roman" w:hAnsi="Times New Roman"/>
          <w:bCs/>
          <w:sz w:val="20"/>
          <w:szCs w:val="20"/>
        </w:rPr>
      </w:pPr>
      <w:r w:rsidRPr="000572AB">
        <w:rPr>
          <w:rFonts w:ascii="Times New Roman" w:hAnsi="Times New Roman"/>
          <w:bCs/>
          <w:sz w:val="20"/>
          <w:szCs w:val="20"/>
        </w:rPr>
        <w:t>Фінансові інвестиції та фінансові інструменти, призначені для продажу, обліковуються за справедливою вартістю з віднесенням їх змін на прибуток або збиток.</w:t>
      </w:r>
    </w:p>
    <w:p w:rsidR="00524461" w:rsidRPr="000572AB" w:rsidRDefault="00524461" w:rsidP="00D542E2">
      <w:pPr>
        <w:spacing w:after="0" w:line="240" w:lineRule="auto"/>
        <w:ind w:firstLine="709"/>
        <w:jc w:val="both"/>
        <w:rPr>
          <w:rFonts w:ascii="Times New Roman" w:hAnsi="Times New Roman"/>
          <w:bCs/>
          <w:sz w:val="20"/>
          <w:szCs w:val="20"/>
        </w:rPr>
      </w:pPr>
      <w:r w:rsidRPr="000572AB">
        <w:rPr>
          <w:rFonts w:ascii="Times New Roman" w:hAnsi="Times New Roman"/>
          <w:bCs/>
          <w:sz w:val="20"/>
          <w:szCs w:val="20"/>
        </w:rPr>
        <w:t>Фінансові інструменти та фінансові інвестиції, утримувані до погашення - це непохідні фінансові активи з фіксованими платежами або платежами, які підлягають визначенню, а також фіксованим строком погашення, що їх Товариство має реальний намір та здатність утримувати до погашення.</w:t>
      </w:r>
    </w:p>
    <w:p w:rsidR="00524461" w:rsidRPr="000572AB" w:rsidRDefault="00524461" w:rsidP="00D542E2">
      <w:pPr>
        <w:spacing w:after="0" w:line="240" w:lineRule="auto"/>
        <w:ind w:firstLine="709"/>
        <w:jc w:val="both"/>
        <w:rPr>
          <w:rFonts w:ascii="Times New Roman" w:hAnsi="Times New Roman"/>
          <w:bCs/>
          <w:sz w:val="20"/>
          <w:szCs w:val="20"/>
        </w:rPr>
      </w:pPr>
      <w:r w:rsidRPr="000572AB">
        <w:rPr>
          <w:rFonts w:ascii="Times New Roman" w:hAnsi="Times New Roman"/>
          <w:bCs/>
          <w:sz w:val="20"/>
          <w:szCs w:val="20"/>
        </w:rPr>
        <w:lastRenderedPageBreak/>
        <w:t>Фінансові інструменти та фінансові інвестиції, утримувані до погашення, обліковуються за амортизованою собівартістю. Строк погашення та періодичність погашення встановлюється виходячи з прогнозованих даних на підставі попереднього досвіду та затверджуються наказом Товариства.</w:t>
      </w:r>
    </w:p>
    <w:p w:rsidR="00524461" w:rsidRPr="000572AB" w:rsidRDefault="00524461" w:rsidP="00D542E2">
      <w:pPr>
        <w:spacing w:after="0" w:line="240" w:lineRule="auto"/>
        <w:ind w:firstLine="709"/>
        <w:jc w:val="both"/>
        <w:rPr>
          <w:rFonts w:ascii="Times New Roman" w:hAnsi="Times New Roman"/>
          <w:bCs/>
          <w:sz w:val="20"/>
          <w:szCs w:val="20"/>
        </w:rPr>
      </w:pPr>
      <w:r w:rsidRPr="000572AB">
        <w:rPr>
          <w:rFonts w:ascii="Times New Roman" w:hAnsi="Times New Roman"/>
          <w:bCs/>
          <w:sz w:val="20"/>
          <w:szCs w:val="20"/>
        </w:rPr>
        <w:t>Первісною оцінкою фінансових активів є справедлива вартість плюс витрати на операції, які прямо відносяться до їх придбання. Свідченням справедливої вартості є сума компенсації, зазначена в договорі на придбання фінансового інструменту.</w:t>
      </w:r>
    </w:p>
    <w:p w:rsidR="00524461" w:rsidRPr="000572AB" w:rsidRDefault="00524461" w:rsidP="00D542E2">
      <w:pPr>
        <w:spacing w:after="0" w:line="240" w:lineRule="auto"/>
        <w:ind w:firstLine="709"/>
        <w:jc w:val="both"/>
        <w:rPr>
          <w:rFonts w:ascii="Times New Roman" w:hAnsi="Times New Roman"/>
          <w:bCs/>
          <w:sz w:val="20"/>
          <w:szCs w:val="20"/>
        </w:rPr>
      </w:pPr>
      <w:r w:rsidRPr="000572AB">
        <w:rPr>
          <w:rFonts w:ascii="Times New Roman" w:hAnsi="Times New Roman"/>
          <w:bCs/>
          <w:sz w:val="20"/>
          <w:szCs w:val="20"/>
        </w:rPr>
        <w:t xml:space="preserve">Інвестиції, доступні для продажу, обліковуються за справедливою вартістю з </w:t>
      </w:r>
      <w:r w:rsidRPr="000572AB">
        <w:rPr>
          <w:rFonts w:ascii="Times New Roman" w:hAnsi="Times New Roman"/>
          <w:sz w:val="20"/>
          <w:szCs w:val="20"/>
        </w:rPr>
        <w:t>визнанням їх змін в іншому сукупному прибутку</w:t>
      </w:r>
      <w:r w:rsidRPr="000572AB">
        <w:rPr>
          <w:rFonts w:ascii="Times New Roman" w:hAnsi="Times New Roman"/>
          <w:sz w:val="20"/>
          <w:szCs w:val="20"/>
          <w:lang w:eastAsia="ar-SA"/>
        </w:rPr>
        <w:t>.</w:t>
      </w:r>
    </w:p>
    <w:p w:rsidR="00524461" w:rsidRPr="000572AB" w:rsidRDefault="00524461" w:rsidP="00D542E2">
      <w:pPr>
        <w:spacing w:after="0" w:line="240" w:lineRule="auto"/>
        <w:ind w:firstLine="709"/>
        <w:jc w:val="both"/>
        <w:rPr>
          <w:rFonts w:ascii="Times New Roman" w:hAnsi="Times New Roman"/>
          <w:bCs/>
          <w:sz w:val="20"/>
          <w:szCs w:val="20"/>
        </w:rPr>
      </w:pPr>
      <w:r w:rsidRPr="000572AB">
        <w:rPr>
          <w:rFonts w:ascii="Times New Roman" w:hAnsi="Times New Roman"/>
          <w:bCs/>
          <w:sz w:val="20"/>
          <w:szCs w:val="20"/>
        </w:rPr>
        <w:t>Фінансові інвестиції оцінюються за їхньою справедливою вартістю за винятком позик, дебіторської заборгованості та інвестицій утримуваних до погашення, що оцінюються за амортизованою собівартістю, застосовуючи метод ефективного відсотка. Амортизована собівартість - це первісна вартість інструмента мінус виплати основної суми, плюс (або мінус) накопичена амортизація будь якої різниці між цією первісною сумою та сумою погашення та мінус будь-яке зменшення корисності.</w:t>
      </w:r>
    </w:p>
    <w:p w:rsidR="00524461" w:rsidRPr="000572AB" w:rsidRDefault="00524461"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572AB">
        <w:rPr>
          <w:rFonts w:ascii="Times New Roman" w:hAnsi="Times New Roman"/>
          <w:sz w:val="20"/>
          <w:szCs w:val="20"/>
        </w:rPr>
        <w:t>Облікова політика щодо подальшої оцінки фінансових інструментів розкривається нижче у відповідних розділах облікової політики.</w:t>
      </w:r>
    </w:p>
    <w:p w:rsidR="00524461" w:rsidRPr="000572AB" w:rsidRDefault="00524461" w:rsidP="00D542E2">
      <w:pPr>
        <w:shd w:val="clear" w:color="auto" w:fill="FFFFFF"/>
        <w:spacing w:after="0" w:line="240" w:lineRule="auto"/>
        <w:ind w:firstLine="709"/>
        <w:rPr>
          <w:rFonts w:ascii="Times New Roman" w:hAnsi="Times New Roman"/>
          <w:b/>
          <w:bCs/>
          <w:i/>
          <w:spacing w:val="2"/>
          <w:sz w:val="20"/>
          <w:szCs w:val="20"/>
        </w:rPr>
      </w:pPr>
    </w:p>
    <w:p w:rsidR="00524461" w:rsidRPr="000572AB" w:rsidRDefault="00524461" w:rsidP="00D542E2">
      <w:pPr>
        <w:numPr>
          <w:ilvl w:val="1"/>
          <w:numId w:val="12"/>
        </w:numPr>
        <w:shd w:val="clear" w:color="auto" w:fill="FFFFFF"/>
        <w:spacing w:after="0" w:line="240" w:lineRule="auto"/>
        <w:rPr>
          <w:rFonts w:ascii="Times New Roman" w:hAnsi="Times New Roman"/>
          <w:b/>
          <w:bCs/>
          <w:spacing w:val="2"/>
          <w:sz w:val="20"/>
          <w:szCs w:val="20"/>
        </w:rPr>
      </w:pPr>
      <w:r w:rsidRPr="000572AB">
        <w:rPr>
          <w:rFonts w:ascii="Times New Roman" w:hAnsi="Times New Roman"/>
          <w:b/>
          <w:bCs/>
          <w:i/>
          <w:spacing w:val="2"/>
          <w:sz w:val="20"/>
          <w:szCs w:val="20"/>
        </w:rPr>
        <w:t xml:space="preserve"> </w:t>
      </w:r>
      <w:r w:rsidRPr="000572AB">
        <w:rPr>
          <w:rFonts w:ascii="Times New Roman" w:hAnsi="Times New Roman"/>
          <w:b/>
          <w:bCs/>
          <w:spacing w:val="2"/>
          <w:sz w:val="20"/>
          <w:szCs w:val="20"/>
        </w:rPr>
        <w:t>Грошові кошти та їхні еквіваленти</w:t>
      </w:r>
      <w:r w:rsidR="00796828" w:rsidRPr="000572AB">
        <w:rPr>
          <w:rFonts w:ascii="Times New Roman" w:hAnsi="Times New Roman"/>
          <w:b/>
          <w:bCs/>
          <w:spacing w:val="2"/>
          <w:sz w:val="20"/>
          <w:szCs w:val="20"/>
        </w:rPr>
        <w:t xml:space="preserve"> </w:t>
      </w:r>
      <w:r w:rsidR="00796828" w:rsidRPr="000572AB">
        <w:rPr>
          <w:rFonts w:ascii="Times New Roman" w:hAnsi="Times New Roman"/>
          <w:b/>
          <w:bCs/>
          <w:spacing w:val="2"/>
          <w:sz w:val="20"/>
          <w:szCs w:val="20"/>
        </w:rPr>
        <w:br/>
      </w:r>
    </w:p>
    <w:p w:rsidR="00524461" w:rsidRPr="000572AB" w:rsidRDefault="00524461"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572AB">
        <w:rPr>
          <w:rFonts w:ascii="Times New Roman" w:hAnsi="Times New Roman"/>
          <w:sz w:val="20"/>
          <w:szCs w:val="20"/>
        </w:rPr>
        <w:t>Грошові кошти складаються з готівки в касі та коштів на поточних рахунках у банках.</w:t>
      </w:r>
    </w:p>
    <w:p w:rsidR="00524461" w:rsidRPr="000572AB" w:rsidRDefault="00524461"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572AB">
        <w:rPr>
          <w:rFonts w:ascii="Times New Roman" w:hAnsi="Times New Roman"/>
          <w:sz w:val="20"/>
          <w:szCs w:val="20"/>
        </w:rPr>
        <w:t>Еквіваленти грошових коштів – це короткострокові, високоліквідні інвестиції, які вільно конвертуються у відомі суми грошових коштів і яким притаманний незначний ризик зміни вартості. Інвестиція визначається зазвичай як еквівалент грошових коштів тільки в разі короткого строку погашення, наприклад, протягом не більше ніж три місяці з дати придбання.</w:t>
      </w:r>
    </w:p>
    <w:p w:rsidR="00524461" w:rsidRPr="000572AB" w:rsidRDefault="00524461"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572AB">
        <w:rPr>
          <w:rFonts w:ascii="Times New Roman" w:hAnsi="Times New Roman"/>
          <w:sz w:val="20"/>
          <w:szCs w:val="20"/>
        </w:rPr>
        <w:t>Грошові кошти та їх еквіваленти можуть утримуватися, а операції з ними проводитися в національній валюті та в іноземній валюті.</w:t>
      </w:r>
    </w:p>
    <w:p w:rsidR="00524461" w:rsidRPr="000572AB" w:rsidRDefault="00524461"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572AB">
        <w:rPr>
          <w:rFonts w:ascii="Times New Roman" w:hAnsi="Times New Roman"/>
          <w:sz w:val="20"/>
          <w:szCs w:val="20"/>
        </w:rPr>
        <w:t>Іноземна валюта – це валюта інша, ніж функціональна валюта.</w:t>
      </w:r>
    </w:p>
    <w:p w:rsidR="00524461" w:rsidRPr="000572AB" w:rsidRDefault="00524461"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572AB">
        <w:rPr>
          <w:rFonts w:ascii="Times New Roman" w:hAnsi="Times New Roman"/>
          <w:sz w:val="20"/>
          <w:szCs w:val="20"/>
        </w:rPr>
        <w:t>Грошові кошти та їх еквіваленти визнаються за умови відповідності критеріям визнання активами.</w:t>
      </w:r>
    </w:p>
    <w:p w:rsidR="00524461" w:rsidRPr="000572AB" w:rsidRDefault="00524461"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572AB">
        <w:rPr>
          <w:rFonts w:ascii="Times New Roman" w:hAnsi="Times New Roman"/>
          <w:sz w:val="20"/>
          <w:szCs w:val="20"/>
        </w:rPr>
        <w:t>Первісна та подальша оцінка грошових коштів та їх еквівалентів здійснюється за справедливою вартістю, яка дорівнює їх номінальній вартості.</w:t>
      </w:r>
    </w:p>
    <w:p w:rsidR="00524461" w:rsidRPr="000572AB" w:rsidRDefault="00524461"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572AB">
        <w:rPr>
          <w:rFonts w:ascii="Times New Roman" w:hAnsi="Times New Roman"/>
          <w:sz w:val="20"/>
          <w:szCs w:val="20"/>
        </w:rPr>
        <w:t>Первісна та подальша оцінка грошових коштів та їх еквівалентів в іноземній валюті здійснюється у функціональній валюті за офіційними курсами Національного банку України (НБУ).</w:t>
      </w:r>
    </w:p>
    <w:p w:rsidR="00524461" w:rsidRPr="000572AB" w:rsidRDefault="00524461"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572AB">
        <w:rPr>
          <w:rFonts w:ascii="Times New Roman" w:hAnsi="Times New Roman"/>
          <w:sz w:val="20"/>
          <w:szCs w:val="20"/>
        </w:rPr>
        <w:t>У разі обмеження права використання коштів на поточних рахунках в у банках (наприклад, у випадку призначення НБУ в банківській установі тимчасової адміністрації) ці активи можуть бути класифіковані у складі непоточних активів. У випадку прийняття НБУ рішення про ліквідацію банківської установи та відсутності ймовірності повернення грошових коштів, визнання їх як активу припиняється і їх вартість відображається у складі збитків звітного періоду.</w:t>
      </w:r>
    </w:p>
    <w:p w:rsidR="00524461" w:rsidRPr="000572AB" w:rsidRDefault="00524461" w:rsidP="00D542E2">
      <w:pPr>
        <w:shd w:val="clear" w:color="auto" w:fill="FFFFFF"/>
        <w:spacing w:after="0" w:line="240" w:lineRule="auto"/>
        <w:ind w:firstLine="709"/>
        <w:rPr>
          <w:rFonts w:ascii="Times New Roman" w:hAnsi="Times New Roman"/>
          <w:b/>
          <w:bCs/>
          <w:i/>
          <w:spacing w:val="2"/>
          <w:sz w:val="20"/>
          <w:szCs w:val="20"/>
        </w:rPr>
      </w:pPr>
    </w:p>
    <w:p w:rsidR="00524461" w:rsidRPr="000572AB" w:rsidRDefault="00524461" w:rsidP="00D542E2">
      <w:pPr>
        <w:numPr>
          <w:ilvl w:val="1"/>
          <w:numId w:val="12"/>
        </w:numPr>
        <w:shd w:val="clear" w:color="auto" w:fill="FFFFFF"/>
        <w:spacing w:after="0" w:line="240" w:lineRule="auto"/>
        <w:rPr>
          <w:rFonts w:ascii="Times New Roman" w:hAnsi="Times New Roman"/>
          <w:b/>
          <w:bCs/>
          <w:spacing w:val="2"/>
          <w:sz w:val="20"/>
          <w:szCs w:val="20"/>
        </w:rPr>
      </w:pPr>
      <w:r w:rsidRPr="000572AB">
        <w:rPr>
          <w:rFonts w:ascii="Times New Roman" w:hAnsi="Times New Roman"/>
          <w:b/>
          <w:bCs/>
          <w:i/>
          <w:spacing w:val="2"/>
          <w:sz w:val="20"/>
          <w:szCs w:val="20"/>
        </w:rPr>
        <w:t xml:space="preserve"> </w:t>
      </w:r>
      <w:r w:rsidRPr="000572AB">
        <w:rPr>
          <w:rFonts w:ascii="Times New Roman" w:hAnsi="Times New Roman"/>
          <w:b/>
          <w:bCs/>
          <w:spacing w:val="2"/>
          <w:sz w:val="20"/>
          <w:szCs w:val="20"/>
        </w:rPr>
        <w:t>Дебіторська заборгованість</w:t>
      </w:r>
    </w:p>
    <w:p w:rsidR="00524461" w:rsidRPr="000572AB" w:rsidRDefault="00524461"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572AB">
        <w:rPr>
          <w:rFonts w:ascii="Times New Roman" w:hAnsi="Times New Roman"/>
          <w:sz w:val="20"/>
          <w:szCs w:val="20"/>
        </w:rPr>
        <w:t>Дебіторська заборгованість – це фінансовий актив, який являє собою контрактне право отримати грошові кошти або інший фінансовий актив від іншого суб’єкта господарювання.</w:t>
      </w:r>
    </w:p>
    <w:p w:rsidR="00524461" w:rsidRPr="000572AB" w:rsidRDefault="00524461"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572AB">
        <w:rPr>
          <w:rFonts w:ascii="Times New Roman" w:hAnsi="Times New Roman"/>
          <w:sz w:val="20"/>
          <w:szCs w:val="20"/>
        </w:rPr>
        <w:t>Дебіторська заборгованість визнається у звіті про фінансовий стан тоді і лише тоді, коли Товариство стає стороною контрактних відношень щодо цього інструменту. Первісна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p>
    <w:p w:rsidR="00524461" w:rsidRPr="000572AB" w:rsidRDefault="00064DC1" w:rsidP="00D31FCB">
      <w:pPr>
        <w:pStyle w:val="a7"/>
        <w:spacing w:before="0" w:beforeAutospacing="0" w:after="0" w:afterAutospacing="0"/>
        <w:ind w:firstLine="709"/>
        <w:contextualSpacing/>
        <w:rPr>
          <w:sz w:val="20"/>
          <w:szCs w:val="20"/>
          <w:lang w:val="ru-RU"/>
        </w:rPr>
      </w:pPr>
      <w:r w:rsidRPr="000572AB">
        <w:rPr>
          <w:sz w:val="20"/>
          <w:szCs w:val="20"/>
        </w:rPr>
        <w:t xml:space="preserve"> </w:t>
      </w:r>
      <w:r w:rsidR="00524461" w:rsidRPr="000572AB">
        <w:rPr>
          <w:sz w:val="20"/>
          <w:szCs w:val="20"/>
        </w:rPr>
        <w:t>Після первісного визнання подальша оцінка дебіторської заборгованості здійснюється за амортизованою собівартістю із застосуванням методу ефективного відсотка</w:t>
      </w:r>
    </w:p>
    <w:p w:rsidR="00064DC1" w:rsidRPr="000572AB" w:rsidRDefault="00064DC1" w:rsidP="00CF5AF5">
      <w:pPr>
        <w:pStyle w:val="a7"/>
        <w:spacing w:before="0" w:beforeAutospacing="0" w:after="0" w:afterAutospacing="0"/>
        <w:ind w:firstLine="708"/>
        <w:contextualSpacing/>
        <w:rPr>
          <w:sz w:val="20"/>
          <w:szCs w:val="20"/>
        </w:rPr>
      </w:pPr>
      <w:r w:rsidRPr="000572AB">
        <w:rPr>
          <w:sz w:val="20"/>
        </w:rPr>
        <w:t xml:space="preserve">Товариство  очікує погашення своєї дебіторської заборгованості протягом 2018 року. Ця  </w:t>
      </w:r>
      <w:r w:rsidRPr="000572AB">
        <w:rPr>
          <w:sz w:val="20"/>
          <w:szCs w:val="20"/>
        </w:rPr>
        <w:t>заборгова-ність відображена в сумі очікуваного отримання.</w:t>
      </w:r>
    </w:p>
    <w:p w:rsidR="00524461" w:rsidRPr="000572AB" w:rsidRDefault="00524461"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572AB">
        <w:rPr>
          <w:rFonts w:ascii="Times New Roman" w:hAnsi="Times New Roman"/>
          <w:sz w:val="20"/>
          <w:szCs w:val="20"/>
        </w:rPr>
        <w:t>Якщо є об'єктивне свідчення того, що відбувся збиток від зменшення корисності, балансова вартість активу зменшується на суму таких збитків із застосуванням рахунку резервів.</w:t>
      </w:r>
    </w:p>
    <w:p w:rsidR="00524461" w:rsidRPr="000572AB" w:rsidRDefault="00F86818"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572AB">
        <w:rPr>
          <w:rFonts w:ascii="Times New Roman" w:hAnsi="Times New Roman"/>
          <w:sz w:val="20"/>
          <w:szCs w:val="20"/>
        </w:rPr>
        <w:t xml:space="preserve">Знецінення вартості </w:t>
      </w:r>
      <w:r w:rsidR="00796828" w:rsidRPr="000572AB">
        <w:rPr>
          <w:rFonts w:ascii="Times New Roman" w:hAnsi="Times New Roman"/>
          <w:sz w:val="20"/>
          <w:szCs w:val="20"/>
        </w:rPr>
        <w:t xml:space="preserve"> </w:t>
      </w:r>
      <w:r w:rsidR="00524461" w:rsidRPr="000572AB">
        <w:rPr>
          <w:rFonts w:ascii="Times New Roman" w:hAnsi="Times New Roman"/>
          <w:sz w:val="20"/>
          <w:szCs w:val="20"/>
        </w:rPr>
        <w:t xml:space="preserve">від зменшення корисності визначається як різниця між балансовою вартістю та теперішньою вартістю очікуваних майбутніх грошових потоків. Визначення суми резерву на покриття збитків від зменшення корисності відбувається на основі аналізу дебіторів та відображає суму, яка, на думку </w:t>
      </w:r>
      <w:r w:rsidR="002E184F" w:rsidRPr="000572AB">
        <w:rPr>
          <w:rFonts w:ascii="Times New Roman" w:hAnsi="Times New Roman"/>
          <w:sz w:val="20"/>
          <w:szCs w:val="20"/>
        </w:rPr>
        <w:t>Керівництв</w:t>
      </w:r>
      <w:r w:rsidR="00524461" w:rsidRPr="000572AB">
        <w:rPr>
          <w:rFonts w:ascii="Times New Roman" w:hAnsi="Times New Roman"/>
          <w:sz w:val="20"/>
          <w:szCs w:val="20"/>
        </w:rPr>
        <w:t>а, достатня для покриття понесених збитків. Для фінансових активів, які є істотними, резерви створюються на основі індивідуальної оцінки окремих дебіторів, для фінансових активів, суми яких індивідуально не є істотними - на основі групової оцінки. Фактори, які Товариство розглядає при визначенні того, чи є у нього об'єктивні свідчення наявності збитків від зменшення корисності, включають інформацію про тенденції непогашення заборгованості у строк, ліквідність, платоспроможність боржника. Для групи дебіторів такими факторами є негативні зміни у стані платежів позичальників у групі, таких як збільшення кількості прострочених платежів; негативні економічні умови у галузі або географічному регіоні.</w:t>
      </w:r>
    </w:p>
    <w:p w:rsidR="00524461" w:rsidRPr="000572AB" w:rsidRDefault="00524461"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572AB">
        <w:rPr>
          <w:rFonts w:ascii="Times New Roman" w:hAnsi="Times New Roman"/>
          <w:sz w:val="20"/>
          <w:szCs w:val="20"/>
        </w:rPr>
        <w:t xml:space="preserve">Сума збитків визнається у прибутку чи збитку. Якщо в наступному періоді сума збитку від зменшення корисності зменшується і це зменшення може бути об'єктивно пов'язаним з подією, яка відбувається після визнання зменшення корисності, то попередньо визнаний збиток від зменшення </w:t>
      </w:r>
      <w:r w:rsidRPr="000572AB">
        <w:rPr>
          <w:rFonts w:ascii="Times New Roman" w:hAnsi="Times New Roman"/>
          <w:sz w:val="20"/>
          <w:szCs w:val="20"/>
        </w:rPr>
        <w:lastRenderedPageBreak/>
        <w:t>корисності сторнується за рахунок коригування резервів. Сума сторнування визнається у прибутку чи збитку. У разі неможливості повернення дебіторської заборгованості вона списується за рахунок створеного резерву на покриття збитків від зменшення корисності.</w:t>
      </w:r>
    </w:p>
    <w:p w:rsidR="00524461" w:rsidRPr="000572AB" w:rsidRDefault="00524461"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572AB">
        <w:rPr>
          <w:rFonts w:ascii="Times New Roman" w:hAnsi="Times New Roman"/>
          <w:sz w:val="20"/>
          <w:szCs w:val="20"/>
        </w:rPr>
        <w:t>Дебіторська заборгованість може бути нескасовно призначена як така, що оцінюється за справедливою вартістю з відображенням результату переоцінки у прибутку або збитку, якщо таке призначення усуває або значно зменшує невідповідність оцінки чи визнання (яку інколи називають «неузгодженістю обліку»), що інакше виникне внаслідок оцінювання активів або зобов’язань чи визнання прибутків або збитків за ними на різних підставах.</w:t>
      </w:r>
    </w:p>
    <w:p w:rsidR="00524461" w:rsidRPr="000572AB" w:rsidRDefault="00524461"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572AB">
        <w:rPr>
          <w:rFonts w:ascii="Times New Roman" w:hAnsi="Times New Roman"/>
          <w:sz w:val="20"/>
          <w:szCs w:val="20"/>
        </w:rPr>
        <w:t>Подальша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p>
    <w:p w:rsidR="00524461" w:rsidRPr="000572AB" w:rsidRDefault="00524461"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572AB">
        <w:rPr>
          <w:rFonts w:ascii="Times New Roman" w:hAnsi="Times New Roman"/>
          <w:sz w:val="20"/>
          <w:szCs w:val="20"/>
        </w:rPr>
        <w:t>У разі змін справедливої вартості дебіторської заборгованості, що мають місце на звітну дату, такі зміни визнаються у прибутку (збитку) звітного періоду.</w:t>
      </w:r>
    </w:p>
    <w:p w:rsidR="00434BF7" w:rsidRPr="000572AB" w:rsidRDefault="00434BF7"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p>
    <w:p w:rsidR="00524461" w:rsidRPr="000572AB" w:rsidRDefault="00524461" w:rsidP="00D542E2">
      <w:pPr>
        <w:numPr>
          <w:ilvl w:val="1"/>
          <w:numId w:val="12"/>
        </w:numPr>
        <w:shd w:val="clear" w:color="auto" w:fill="FFFFFF"/>
        <w:spacing w:after="0" w:line="240" w:lineRule="auto"/>
        <w:rPr>
          <w:rFonts w:ascii="Times New Roman" w:hAnsi="Times New Roman"/>
          <w:b/>
          <w:bCs/>
          <w:spacing w:val="2"/>
          <w:sz w:val="20"/>
          <w:szCs w:val="20"/>
        </w:rPr>
      </w:pPr>
      <w:r w:rsidRPr="000572AB">
        <w:rPr>
          <w:rFonts w:ascii="Times New Roman" w:hAnsi="Times New Roman"/>
          <w:b/>
          <w:bCs/>
          <w:i/>
          <w:spacing w:val="2"/>
          <w:sz w:val="20"/>
          <w:szCs w:val="20"/>
        </w:rPr>
        <w:t xml:space="preserve"> </w:t>
      </w:r>
      <w:r w:rsidRPr="000572AB">
        <w:rPr>
          <w:rFonts w:ascii="Times New Roman" w:hAnsi="Times New Roman"/>
          <w:b/>
          <w:bCs/>
          <w:spacing w:val="2"/>
          <w:sz w:val="20"/>
          <w:szCs w:val="20"/>
        </w:rPr>
        <w:t>Фінансові активи, доступні для продажу</w:t>
      </w:r>
    </w:p>
    <w:p w:rsidR="00524461" w:rsidRPr="000572AB" w:rsidRDefault="00524461"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572AB">
        <w:rPr>
          <w:rFonts w:ascii="Times New Roman" w:hAnsi="Times New Roman"/>
          <w:sz w:val="20"/>
          <w:szCs w:val="20"/>
        </w:rPr>
        <w:t xml:space="preserve">До фінансових активів доступних для продажу, Товариство відносить інвестиції в акції, корпоративні права, незалежно від відсотка (частки) володіння. Після первісного визнання Товариство оцінює їх за справедливою вартістю. </w:t>
      </w:r>
      <w:r w:rsidRPr="000572AB">
        <w:rPr>
          <w:rFonts w:ascii="Times New Roman" w:hAnsi="Times New Roman"/>
          <w:sz w:val="20"/>
          <w:szCs w:val="20"/>
          <w:lang w:eastAsia="ar-SA"/>
        </w:rPr>
        <w:t>Результати від зміни справедливої вартості доступного для продажу фі</w:t>
      </w:r>
      <w:r w:rsidRPr="000572AB">
        <w:rPr>
          <w:rFonts w:ascii="Times New Roman" w:hAnsi="Times New Roman"/>
          <w:sz w:val="20"/>
          <w:szCs w:val="20"/>
        </w:rPr>
        <w:t>нансового активу визнаються в іншому сукупному прибутку, за винятком збитків від зменшення корисності та збитків від іноземної валюти, доки визнання фінансового активу не буде припинено, коли кумулятивний прибуток або збиток, визнаний раніше у власному капіталі, слід визнавати у прибутку чи збитку.</w:t>
      </w:r>
    </w:p>
    <w:p w:rsidR="00524461" w:rsidRPr="000572AB" w:rsidRDefault="00524461"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572AB">
        <w:rPr>
          <w:rFonts w:ascii="Times New Roman" w:hAnsi="Times New Roman"/>
          <w:sz w:val="20"/>
          <w:szCs w:val="20"/>
        </w:rPr>
        <w:t>Якщо існує об'єктивне свідчення зменшення корисності фінансового активу, доступного для продажу, сума кумулятивного збитку виключається з власного капіталу и визнається у прибутку чи збитку. Неринкові акції, справедливу вартість яких неможливо визначити, обліковуються за собівартістю, за вирахуванням збитків від знецінення, якщо вони є.</w:t>
      </w:r>
    </w:p>
    <w:p w:rsidR="003D5FDB" w:rsidRPr="000572AB" w:rsidRDefault="003D5FDB"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p>
    <w:p w:rsidR="00524461" w:rsidRPr="000572AB" w:rsidRDefault="00524461" w:rsidP="00D542E2">
      <w:pPr>
        <w:numPr>
          <w:ilvl w:val="1"/>
          <w:numId w:val="12"/>
        </w:numPr>
        <w:shd w:val="clear" w:color="auto" w:fill="FFFFFF"/>
        <w:spacing w:after="0" w:line="240" w:lineRule="auto"/>
        <w:rPr>
          <w:rFonts w:ascii="Times New Roman" w:hAnsi="Times New Roman"/>
          <w:b/>
          <w:bCs/>
          <w:spacing w:val="2"/>
          <w:sz w:val="20"/>
          <w:szCs w:val="20"/>
        </w:rPr>
      </w:pPr>
      <w:r w:rsidRPr="000572AB">
        <w:rPr>
          <w:rFonts w:ascii="Times New Roman" w:hAnsi="Times New Roman"/>
          <w:b/>
          <w:bCs/>
          <w:i/>
          <w:spacing w:val="2"/>
          <w:sz w:val="20"/>
          <w:szCs w:val="20"/>
        </w:rPr>
        <w:t xml:space="preserve"> </w:t>
      </w:r>
      <w:r w:rsidRPr="000572AB">
        <w:rPr>
          <w:rFonts w:ascii="Times New Roman" w:hAnsi="Times New Roman"/>
          <w:b/>
          <w:bCs/>
          <w:spacing w:val="2"/>
          <w:sz w:val="20"/>
          <w:szCs w:val="20"/>
        </w:rPr>
        <w:t>Фінансові активи, утримувані до погашення</w:t>
      </w:r>
    </w:p>
    <w:p w:rsidR="00524461" w:rsidRPr="000572AB" w:rsidRDefault="00524461"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572AB">
        <w:rPr>
          <w:rFonts w:ascii="Times New Roman" w:hAnsi="Times New Roman"/>
          <w:sz w:val="20"/>
          <w:szCs w:val="20"/>
        </w:rPr>
        <w:t>До фінансових активів, утримуваних до погашення, Товариство відносить облігації та векселі, що їх Товариство має реальний намір та здатність утримувати до погашення. Після первісного визнання Товариство оцінює їх за амортизованою собівартістю, застосовуючи метод ефективного відсотка, за вирахуванням збитків від знецінення, якщо вони є.</w:t>
      </w:r>
    </w:p>
    <w:p w:rsidR="003D5FDB" w:rsidRPr="000572AB" w:rsidRDefault="003D5FDB"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p>
    <w:p w:rsidR="00524461" w:rsidRPr="000572AB" w:rsidRDefault="00434BF7" w:rsidP="00D542E2">
      <w:pPr>
        <w:shd w:val="clear" w:color="auto" w:fill="FFFFFF"/>
        <w:spacing w:after="0" w:line="240" w:lineRule="auto"/>
        <w:ind w:firstLine="709"/>
        <w:rPr>
          <w:rFonts w:ascii="Times New Roman" w:hAnsi="Times New Roman"/>
          <w:b/>
          <w:bCs/>
          <w:spacing w:val="2"/>
          <w:sz w:val="20"/>
          <w:szCs w:val="20"/>
        </w:rPr>
      </w:pPr>
      <w:r w:rsidRPr="000572AB">
        <w:rPr>
          <w:rFonts w:ascii="Times New Roman" w:hAnsi="Times New Roman"/>
          <w:b/>
          <w:bCs/>
          <w:spacing w:val="2"/>
          <w:sz w:val="20"/>
          <w:szCs w:val="20"/>
        </w:rPr>
        <w:t>11.6.</w:t>
      </w:r>
      <w:r w:rsidR="00524461" w:rsidRPr="000572AB">
        <w:rPr>
          <w:rFonts w:ascii="Times New Roman" w:hAnsi="Times New Roman"/>
          <w:b/>
          <w:bCs/>
          <w:i/>
          <w:spacing w:val="2"/>
          <w:sz w:val="20"/>
          <w:szCs w:val="20"/>
        </w:rPr>
        <w:t xml:space="preserve"> </w:t>
      </w:r>
      <w:r w:rsidR="00524461" w:rsidRPr="000572AB">
        <w:rPr>
          <w:rFonts w:ascii="Times New Roman" w:hAnsi="Times New Roman"/>
          <w:b/>
          <w:bCs/>
          <w:spacing w:val="2"/>
          <w:sz w:val="20"/>
          <w:szCs w:val="20"/>
        </w:rPr>
        <w:t>Зобов'язання. Кредити банків</w:t>
      </w:r>
    </w:p>
    <w:p w:rsidR="00524461" w:rsidRPr="000572AB" w:rsidRDefault="00524461"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572AB">
        <w:rPr>
          <w:rFonts w:ascii="Times New Roman" w:hAnsi="Times New Roman"/>
          <w:sz w:val="20"/>
          <w:szCs w:val="20"/>
        </w:rPr>
        <w:t>Поточні зобов’язання – це зобов’язання, які відповідають одній або декільком із нижченаведених ознак:</w:t>
      </w:r>
    </w:p>
    <w:p w:rsidR="00524461" w:rsidRPr="000572AB" w:rsidRDefault="00524461" w:rsidP="00D542E2">
      <w:pPr>
        <w:numPr>
          <w:ilvl w:val="0"/>
          <w:numId w:val="10"/>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0"/>
          <w:szCs w:val="20"/>
        </w:rPr>
      </w:pPr>
      <w:r w:rsidRPr="000572AB">
        <w:rPr>
          <w:rFonts w:ascii="Times New Roman" w:hAnsi="Times New Roman"/>
          <w:sz w:val="20"/>
          <w:szCs w:val="20"/>
        </w:rPr>
        <w:t>Товариство сподівається погасити зобов’язання або зобов’язання підлягає погашенню протягом дванадцяти місяців після звітного періоду;</w:t>
      </w:r>
    </w:p>
    <w:p w:rsidR="00524461" w:rsidRPr="000572AB" w:rsidRDefault="00524461" w:rsidP="00D542E2">
      <w:pPr>
        <w:numPr>
          <w:ilvl w:val="0"/>
          <w:numId w:val="10"/>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0"/>
          <w:szCs w:val="20"/>
        </w:rPr>
      </w:pPr>
      <w:r w:rsidRPr="000572AB">
        <w:rPr>
          <w:rFonts w:ascii="Times New Roman" w:hAnsi="Times New Roman"/>
          <w:sz w:val="20"/>
          <w:szCs w:val="20"/>
        </w:rPr>
        <w:t>Товариство не має безумовного права відстрочити погашення зобов’язання протягом щонайменше дванадцяти місяців після звітного періоду.</w:t>
      </w:r>
    </w:p>
    <w:p w:rsidR="00524461" w:rsidRPr="000572AB" w:rsidRDefault="00524461"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572AB">
        <w:rPr>
          <w:rFonts w:ascii="Times New Roman" w:hAnsi="Times New Roman"/>
          <w:sz w:val="20"/>
          <w:szCs w:val="20"/>
        </w:rPr>
        <w:t xml:space="preserve">Поточні зобов’язання визнаються за умови відповідності визначенню і критеріям визнання зобов’язань. </w:t>
      </w:r>
    </w:p>
    <w:p w:rsidR="00524461" w:rsidRPr="000572AB" w:rsidRDefault="00524461"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572AB">
        <w:rPr>
          <w:rFonts w:ascii="Times New Roman" w:hAnsi="Times New Roman"/>
          <w:sz w:val="20"/>
          <w:szCs w:val="20"/>
        </w:rPr>
        <w:t>Первісно кредити банків визнаються за справедливою вартістю, яка дорівнює сумі надходжень мінус витрати на проведення операції. У подальшому суми фінансових зобов'язань відображаються за амортизованою вартістю за методом ефективної ставки відсотку, та будь-яка різниця між чистими надходженнями та вартістю погашення визнається у прибутках чи збитках протягом періоду дії запозичень із використанням ефективної ставки відсотка.</w:t>
      </w:r>
    </w:p>
    <w:p w:rsidR="003D5FDB" w:rsidRPr="000572AB" w:rsidRDefault="003D5FDB"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p>
    <w:p w:rsidR="00D542E2" w:rsidRPr="000572AB" w:rsidRDefault="00D542E2" w:rsidP="00D542E2">
      <w:pPr>
        <w:pStyle w:val="af7"/>
        <w:shd w:val="clear" w:color="auto" w:fill="FFFFFF"/>
        <w:ind w:left="1429"/>
        <w:rPr>
          <w:rFonts w:ascii="Times New Roman" w:hAnsi="Times New Roman" w:cs="Times New Roman"/>
          <w:b/>
          <w:bCs/>
          <w:spacing w:val="2"/>
          <w:sz w:val="20"/>
          <w:szCs w:val="20"/>
          <w:lang w:val="uk-UA"/>
        </w:rPr>
      </w:pPr>
    </w:p>
    <w:p w:rsidR="00524461" w:rsidRPr="000572AB" w:rsidRDefault="00524461" w:rsidP="00D542E2">
      <w:pPr>
        <w:pStyle w:val="af7"/>
        <w:numPr>
          <w:ilvl w:val="1"/>
          <w:numId w:val="32"/>
        </w:numPr>
        <w:shd w:val="clear" w:color="auto" w:fill="FFFFFF"/>
        <w:rPr>
          <w:rFonts w:ascii="Times New Roman" w:hAnsi="Times New Roman" w:cs="Times New Roman"/>
          <w:b/>
          <w:bCs/>
          <w:spacing w:val="2"/>
          <w:sz w:val="20"/>
          <w:szCs w:val="20"/>
        </w:rPr>
      </w:pPr>
      <w:r w:rsidRPr="000572AB">
        <w:rPr>
          <w:rFonts w:ascii="Times New Roman" w:hAnsi="Times New Roman" w:cs="Times New Roman"/>
          <w:b/>
          <w:bCs/>
          <w:i/>
          <w:spacing w:val="2"/>
          <w:sz w:val="20"/>
          <w:szCs w:val="20"/>
          <w:lang w:val="uk-UA"/>
        </w:rPr>
        <w:t xml:space="preserve"> </w:t>
      </w:r>
      <w:r w:rsidRPr="000572AB">
        <w:rPr>
          <w:rFonts w:ascii="Times New Roman" w:hAnsi="Times New Roman" w:cs="Times New Roman"/>
          <w:b/>
          <w:bCs/>
          <w:spacing w:val="2"/>
          <w:sz w:val="20"/>
          <w:szCs w:val="20"/>
        </w:rPr>
        <w:t>Згортання фінансових активів та зобов'язань</w:t>
      </w:r>
      <w:r w:rsidR="00D542E2" w:rsidRPr="000572AB">
        <w:rPr>
          <w:rFonts w:ascii="Times New Roman" w:hAnsi="Times New Roman" w:cs="Times New Roman"/>
          <w:b/>
          <w:bCs/>
          <w:spacing w:val="2"/>
          <w:sz w:val="20"/>
          <w:szCs w:val="20"/>
          <w:lang w:val="uk-UA"/>
        </w:rPr>
        <w:t>.</w:t>
      </w:r>
    </w:p>
    <w:p w:rsidR="00524461" w:rsidRPr="000572AB" w:rsidRDefault="00524461"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572AB">
        <w:rPr>
          <w:rFonts w:ascii="Times New Roman" w:hAnsi="Times New Roman"/>
          <w:sz w:val="20"/>
          <w:szCs w:val="20"/>
        </w:rPr>
        <w:t>Фінансові активи та зобов'язання згортаються, якщо Товариство має юридичне право здійснювати залік визнаних у балансі сум і має намір або зробити взаємозалік, або реалізувати актив та виконати зобов'язання одночасно</w:t>
      </w:r>
    </w:p>
    <w:p w:rsidR="00434BF7" w:rsidRPr="000572AB" w:rsidRDefault="00434BF7"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p>
    <w:p w:rsidR="00D161F9" w:rsidRPr="000572AB" w:rsidRDefault="00D161F9" w:rsidP="00D542E2">
      <w:pPr>
        <w:pStyle w:val="a"/>
        <w:rPr>
          <w:sz w:val="20"/>
          <w:szCs w:val="20"/>
        </w:rPr>
      </w:pPr>
      <w:r w:rsidRPr="000572AB">
        <w:rPr>
          <w:sz w:val="20"/>
          <w:szCs w:val="20"/>
        </w:rPr>
        <w:t>Знецінення активів</w:t>
      </w:r>
      <w:r w:rsidR="00D542E2" w:rsidRPr="000572AB">
        <w:rPr>
          <w:sz w:val="20"/>
          <w:szCs w:val="20"/>
        </w:rPr>
        <w:t>.</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Товариство відображає необоротні активи у фінансовій звітності з урахуванням знецінення, яке обліковується відповідно до МСБО 36 «Зменшення корисності активів».</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На дату складання фінансової звітності Товариство визначає наявність ознак знецінення активів:</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w:t>
      </w:r>
      <w:r w:rsidRPr="000572AB">
        <w:rPr>
          <w:rFonts w:ascii="Times New Roman" w:hAnsi="Times New Roman"/>
          <w:sz w:val="20"/>
          <w:szCs w:val="20"/>
        </w:rPr>
        <w:tab/>
        <w:t xml:space="preserve"> зменшення ринкової вартості активу протягом звітного періоду на істотну величину, ніж очікувалося;</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w:t>
      </w:r>
      <w:r w:rsidRPr="000572AB">
        <w:rPr>
          <w:rFonts w:ascii="Times New Roman" w:hAnsi="Times New Roman"/>
          <w:sz w:val="20"/>
          <w:szCs w:val="20"/>
        </w:rPr>
        <w:tab/>
        <w:t xml:space="preserve"> старіння або фізичне пошкодження активу;</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w:t>
      </w:r>
      <w:r w:rsidRPr="000572AB">
        <w:rPr>
          <w:rFonts w:ascii="Times New Roman" w:hAnsi="Times New Roman"/>
          <w:sz w:val="20"/>
          <w:szCs w:val="20"/>
        </w:rPr>
        <w:tab/>
        <w:t xml:space="preserve"> істотні негативні зміни в ринковому, економічному або правовому середовищі, у якому діє Товариство, що сталося протягом звітного періоду або очікувані найближчим часом;</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lastRenderedPageBreak/>
        <w:t>•</w:t>
      </w:r>
      <w:r w:rsidRPr="000572AB">
        <w:rPr>
          <w:rFonts w:ascii="Times New Roman" w:hAnsi="Times New Roman"/>
          <w:sz w:val="20"/>
          <w:szCs w:val="20"/>
        </w:rPr>
        <w:tab/>
        <w:t xml:space="preserve"> збільшення протягом звітного періоду ринкових ставок відсотка, яке може суттєво зменшити суму очікуваного відшкодування активу;</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w:t>
      </w:r>
      <w:r w:rsidRPr="000572AB">
        <w:rPr>
          <w:rFonts w:ascii="Times New Roman" w:hAnsi="Times New Roman"/>
          <w:sz w:val="20"/>
          <w:szCs w:val="20"/>
        </w:rPr>
        <w:tab/>
        <w:t xml:space="preserve"> перевищення балансової вартості чистих активів над їх ринковою вартістю;</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w:t>
      </w:r>
      <w:r w:rsidRPr="000572AB">
        <w:rPr>
          <w:rFonts w:ascii="Times New Roman" w:hAnsi="Times New Roman"/>
          <w:sz w:val="20"/>
          <w:szCs w:val="20"/>
        </w:rPr>
        <w:tab/>
        <w:t xml:space="preserve"> суттєві зміни способу використання активу протягом звітного періоду або такі очікувані зміни в наступному періоді, які негативно впливають на діяльність Товариства.</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При наявності ознак знецінення активів, Товариство визначає суму очікуваного відшкодування активу. Сума очікуваного відшкодування активу - це найбільша з двох оцінок: справедливою вартістю за мінусом витрат на продаж та цінності використання. Якщо сума очікуваного відшкодування менше балансової вартості активу, різниця визнається збитками від зменшення у звіті про фінансові результати з одночасним зменшенням балансової вартості активу до суми очікуваного відшкодування.</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У раз</w:t>
      </w:r>
      <w:r w:rsidR="00273192" w:rsidRPr="000572AB">
        <w:rPr>
          <w:rFonts w:ascii="Times New Roman" w:hAnsi="Times New Roman"/>
          <w:sz w:val="20"/>
          <w:szCs w:val="20"/>
        </w:rPr>
        <w:t>і відсутності ознак знецінення о</w:t>
      </w:r>
      <w:r w:rsidRPr="000572AB">
        <w:rPr>
          <w:rFonts w:ascii="Times New Roman" w:hAnsi="Times New Roman"/>
          <w:sz w:val="20"/>
          <w:szCs w:val="20"/>
        </w:rPr>
        <w:t>диниці в цілому у звітності не відображається.</w:t>
      </w:r>
    </w:p>
    <w:p w:rsidR="00434BF7" w:rsidRPr="000572AB" w:rsidRDefault="00434BF7" w:rsidP="00D542E2">
      <w:pPr>
        <w:spacing w:after="0" w:line="240" w:lineRule="auto"/>
        <w:ind w:firstLine="709"/>
        <w:contextualSpacing/>
        <w:jc w:val="both"/>
        <w:rPr>
          <w:rFonts w:ascii="Times New Roman" w:hAnsi="Times New Roman"/>
          <w:sz w:val="20"/>
          <w:szCs w:val="20"/>
        </w:rPr>
      </w:pPr>
    </w:p>
    <w:p w:rsidR="00D161F9" w:rsidRPr="000572AB" w:rsidRDefault="00D161F9" w:rsidP="00D542E2">
      <w:pPr>
        <w:pStyle w:val="a"/>
        <w:rPr>
          <w:sz w:val="20"/>
          <w:szCs w:val="20"/>
        </w:rPr>
      </w:pPr>
      <w:r w:rsidRPr="000572AB">
        <w:rPr>
          <w:sz w:val="20"/>
          <w:szCs w:val="20"/>
        </w:rPr>
        <w:t>Витрати на позики</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Товариство для складання фінансової звітності застосовує підхід до обліку витрат на позики, відображений в МСБО 23 «Витрати на позики».</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Витрати на позики - витрати на сплату відсотків та інші витрати, понесені підприємством у зв'язку із запозиченням коштів.</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Витрати на позики включають:</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а) витрати на сплату відсотків, обчислені за допомогою методу ефективного відсотка, як описано в МСБО 39 «Фінансові інструменти: визнання та оцінка»;</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б) фінансові витрати, пов'язані з фінансовою орендою і визнані згідно з МСБО 17 «Оренда»;</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в) курсові різниці, які виникають унаслідок отримання позик в іноземній валюті, якщо вони розглядаються як коригування витрат на сплату відсотків.</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Витрати на позики визнаються як витрати того періоду, в якому вони понесені, з відображенням у звіті про фінансові результати, крім кваліфікованих активів.</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До кваліфікованих активів відносяться:</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(а) запаси;</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(б) нематеріальні активи;</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(в) інвестиції у нерухомість.</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Витрати на позики, які безпосередньо відносяться до придбання, будівництва або виробництва кваліфікованого активу як частина собівартості цього активу капіталізуються.</w:t>
      </w:r>
    </w:p>
    <w:p w:rsidR="00D6656A" w:rsidRPr="000572AB" w:rsidRDefault="00D6656A" w:rsidP="00D542E2">
      <w:pPr>
        <w:spacing w:after="0" w:line="240" w:lineRule="auto"/>
        <w:ind w:firstLine="709"/>
        <w:contextualSpacing/>
        <w:jc w:val="both"/>
        <w:rPr>
          <w:rFonts w:ascii="Times New Roman" w:hAnsi="Times New Roman"/>
          <w:b/>
          <w:sz w:val="20"/>
          <w:szCs w:val="20"/>
        </w:rPr>
      </w:pPr>
    </w:p>
    <w:p w:rsidR="00D161F9" w:rsidRPr="000572AB" w:rsidRDefault="00D161F9" w:rsidP="00D542E2">
      <w:pPr>
        <w:pStyle w:val="a"/>
        <w:rPr>
          <w:sz w:val="20"/>
          <w:szCs w:val="20"/>
        </w:rPr>
      </w:pPr>
      <w:r w:rsidRPr="000572AB">
        <w:rPr>
          <w:sz w:val="20"/>
          <w:szCs w:val="20"/>
        </w:rPr>
        <w:t>3обов’язання та забезпечення</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Облік і визнання зобов'язань та забезпечень Товариства здійснюється відповідно до МСБО 37 «Забезпечення, умовні зобов'язання та умовні активи».</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Зобов'</w:t>
      </w:r>
      <w:r w:rsidR="00273192" w:rsidRPr="000572AB">
        <w:rPr>
          <w:rFonts w:ascii="Times New Roman" w:hAnsi="Times New Roman"/>
          <w:sz w:val="20"/>
          <w:szCs w:val="20"/>
        </w:rPr>
        <w:t>язання Товариства, класифікуються на довгострокові (термін</w:t>
      </w:r>
      <w:r w:rsidRPr="000572AB">
        <w:rPr>
          <w:rFonts w:ascii="Times New Roman" w:hAnsi="Times New Roman"/>
          <w:sz w:val="20"/>
          <w:szCs w:val="20"/>
        </w:rPr>
        <w:t xml:space="preserve"> погашення понад 12 місяців) і поточні (термін погашення до 12 місяців).</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Оцінка довгострокової кредиторської заборгованості ґрунтується на первісній (справедливій) вартості.</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Поточна кредиторська заборгованість обліковується і відображається в Балансі за первісною вартістю, яка дорівнює справедливій вартості отриманих активів або послуг.</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 xml:space="preserve">Товариство здійснює переказ частини довгострокової кредиторської заборгованості до складу короткострокової, коли за умовами договору до повернення частини суми боргу залишається менше 365 днів. </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Забезпечення визнаються, якщо Товариство в результаті певної події в минулому має юридичні або фактичні зобов'язання, для врегулювання яких з більшим ступенем імовірності буде потріб</w:t>
      </w:r>
      <w:r w:rsidR="000941B6" w:rsidRPr="000572AB">
        <w:rPr>
          <w:rFonts w:ascii="Times New Roman" w:hAnsi="Times New Roman"/>
          <w:sz w:val="20"/>
          <w:szCs w:val="20"/>
        </w:rPr>
        <w:t>е</w:t>
      </w:r>
      <w:r w:rsidRPr="000572AB">
        <w:rPr>
          <w:rFonts w:ascii="Times New Roman" w:hAnsi="Times New Roman"/>
          <w:sz w:val="20"/>
          <w:szCs w:val="20"/>
        </w:rPr>
        <w:t>н відтік ресурсів, і які можна оцінити з достатньою надійністю.</w:t>
      </w:r>
    </w:p>
    <w:p w:rsidR="00A005F3" w:rsidRPr="000572AB" w:rsidRDefault="00A005F3"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Якщо на дату балансу раніше визнане зобов’язання не підлягає погашенню, то його сума включається до складу доходу звітного періоду.</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 xml:space="preserve">Товариство визнає в якості </w:t>
      </w:r>
      <w:r w:rsidR="008377A0" w:rsidRPr="000572AB">
        <w:rPr>
          <w:rFonts w:ascii="Times New Roman" w:hAnsi="Times New Roman"/>
          <w:sz w:val="20"/>
          <w:szCs w:val="20"/>
        </w:rPr>
        <w:t>забезпечень - забезпечення</w:t>
      </w:r>
      <w:r w:rsidRPr="000572AB">
        <w:rPr>
          <w:rFonts w:ascii="Times New Roman" w:hAnsi="Times New Roman"/>
          <w:sz w:val="20"/>
          <w:szCs w:val="20"/>
        </w:rPr>
        <w:t xml:space="preserve"> відпусток, який формується щомісячно виходячи з фонду оплати праці наступним чином: </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w:t>
      </w:r>
      <w:r w:rsidRPr="000572AB">
        <w:rPr>
          <w:rFonts w:ascii="Times New Roman" w:hAnsi="Times New Roman"/>
          <w:sz w:val="20"/>
          <w:szCs w:val="20"/>
        </w:rPr>
        <w:tab/>
      </w:r>
      <w:r w:rsidR="00B853E9" w:rsidRPr="000572AB">
        <w:rPr>
          <w:rFonts w:ascii="Times New Roman" w:hAnsi="Times New Roman"/>
          <w:sz w:val="20"/>
          <w:szCs w:val="20"/>
        </w:rPr>
        <w:t>Забезпечення</w:t>
      </w:r>
      <w:r w:rsidRPr="000572AB">
        <w:rPr>
          <w:rFonts w:ascii="Times New Roman" w:hAnsi="Times New Roman"/>
          <w:sz w:val="20"/>
          <w:szCs w:val="20"/>
        </w:rPr>
        <w:t xml:space="preserve"> нараховується, виходячи із заробітної плати кожного працівника за місяць та нарахованих на заробітну плату страхових внесків.</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w:t>
      </w:r>
      <w:r w:rsidRPr="000572AB">
        <w:rPr>
          <w:rFonts w:ascii="Times New Roman" w:hAnsi="Times New Roman"/>
          <w:sz w:val="20"/>
          <w:szCs w:val="20"/>
        </w:rPr>
        <w:tab/>
        <w:t>Заробітна плата нових працівників та звільнених в поточному місяці не включає</w:t>
      </w:r>
      <w:r w:rsidR="008377A0" w:rsidRPr="000572AB">
        <w:rPr>
          <w:rFonts w:ascii="Times New Roman" w:hAnsi="Times New Roman"/>
          <w:sz w:val="20"/>
          <w:szCs w:val="20"/>
        </w:rPr>
        <w:t>ться до розрахунку забезпечень.</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w:t>
      </w:r>
      <w:r w:rsidRPr="000572AB">
        <w:rPr>
          <w:rFonts w:ascii="Times New Roman" w:hAnsi="Times New Roman"/>
          <w:sz w:val="20"/>
          <w:szCs w:val="20"/>
        </w:rPr>
        <w:tab/>
        <w:t>Щомісяця працівник накопичує 2 дні щорічної оплачуваної відпустки (в т.ч., якщо працівник знаходився на лікарняному).</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w:t>
      </w:r>
      <w:r w:rsidRPr="000572AB">
        <w:rPr>
          <w:rFonts w:ascii="Times New Roman" w:hAnsi="Times New Roman"/>
          <w:sz w:val="20"/>
          <w:szCs w:val="20"/>
        </w:rPr>
        <w:tab/>
        <w:t>З метою врахування підвищення (пониження) заробіт</w:t>
      </w:r>
      <w:r w:rsidR="008377A0" w:rsidRPr="000572AB">
        <w:rPr>
          <w:rFonts w:ascii="Times New Roman" w:hAnsi="Times New Roman"/>
          <w:sz w:val="20"/>
          <w:szCs w:val="20"/>
        </w:rPr>
        <w:t>ної плати для обчислення забезпечень</w:t>
      </w:r>
      <w:r w:rsidRPr="000572AB">
        <w:rPr>
          <w:rFonts w:ascii="Times New Roman" w:hAnsi="Times New Roman"/>
          <w:sz w:val="20"/>
          <w:szCs w:val="20"/>
        </w:rPr>
        <w:t xml:space="preserve">, щомісячні відрахування </w:t>
      </w:r>
      <w:r w:rsidR="008377A0" w:rsidRPr="000572AB">
        <w:rPr>
          <w:rFonts w:ascii="Times New Roman" w:hAnsi="Times New Roman"/>
          <w:sz w:val="20"/>
          <w:szCs w:val="20"/>
        </w:rPr>
        <w:t>до забезпечень</w:t>
      </w:r>
      <w:r w:rsidRPr="000572AB">
        <w:rPr>
          <w:rFonts w:ascii="Times New Roman" w:hAnsi="Times New Roman"/>
          <w:sz w:val="20"/>
          <w:szCs w:val="20"/>
        </w:rPr>
        <w:t xml:space="preserve"> визначаються на останній робочий день місяця.</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w:t>
      </w:r>
      <w:r w:rsidRPr="000572AB">
        <w:rPr>
          <w:rFonts w:ascii="Times New Roman" w:hAnsi="Times New Roman"/>
          <w:sz w:val="20"/>
          <w:szCs w:val="20"/>
        </w:rPr>
        <w:tab/>
        <w:t xml:space="preserve">Розрахунок </w:t>
      </w:r>
      <w:r w:rsidR="008377A0" w:rsidRPr="000572AB">
        <w:rPr>
          <w:rFonts w:ascii="Times New Roman" w:hAnsi="Times New Roman"/>
          <w:sz w:val="20"/>
          <w:szCs w:val="20"/>
        </w:rPr>
        <w:t>забезпечень</w:t>
      </w:r>
      <w:r w:rsidRPr="000572AB">
        <w:rPr>
          <w:rFonts w:ascii="Times New Roman" w:hAnsi="Times New Roman"/>
          <w:sz w:val="20"/>
          <w:szCs w:val="20"/>
        </w:rPr>
        <w:t xml:space="preserve"> на виплату відпусток визначається </w:t>
      </w:r>
      <w:r w:rsidR="00BB7D6A" w:rsidRPr="000572AB">
        <w:rPr>
          <w:rFonts w:ascii="Times New Roman" w:hAnsi="Times New Roman"/>
          <w:sz w:val="20"/>
          <w:szCs w:val="20"/>
        </w:rPr>
        <w:t xml:space="preserve">щоквартально </w:t>
      </w:r>
      <w:r w:rsidRPr="000572AB">
        <w:rPr>
          <w:rFonts w:ascii="Times New Roman" w:hAnsi="Times New Roman"/>
          <w:sz w:val="20"/>
          <w:szCs w:val="20"/>
        </w:rPr>
        <w:t xml:space="preserve"> за формулою:</w:t>
      </w:r>
    </w:p>
    <w:p w:rsidR="00862073" w:rsidRPr="000572AB" w:rsidRDefault="00293E65" w:rsidP="00D542E2">
      <w:pPr>
        <w:spacing w:after="0" w:line="240" w:lineRule="auto"/>
        <w:ind w:firstLine="709"/>
        <w:contextualSpacing/>
        <w:jc w:val="both"/>
        <w:rPr>
          <w:rFonts w:ascii="Times New Roman" w:hAnsi="Times New Roman"/>
          <w:sz w:val="20"/>
          <w:szCs w:val="20"/>
        </w:rPr>
      </w:pPr>
      <m:oMathPara>
        <m:oMath>
          <m:r>
            <m:rPr>
              <m:sty m:val="p"/>
            </m:rPr>
            <w:rPr>
              <w:rFonts w:ascii="Times New Roman" w:hAnsi="Times New Roman"/>
              <w:sz w:val="20"/>
              <w:szCs w:val="20"/>
            </w:rPr>
            <m:t>Сума</m:t>
          </m:r>
          <m:r>
            <m:rPr>
              <m:sty m:val="p"/>
            </m:rPr>
            <w:rPr>
              <w:rFonts w:ascii="Cambria Math" w:hAnsi="Times New Roman"/>
              <w:sz w:val="20"/>
              <w:szCs w:val="20"/>
            </w:rPr>
            <m:t xml:space="preserve"> </m:t>
          </m:r>
          <m:r>
            <m:rPr>
              <m:sty m:val="p"/>
            </m:rPr>
            <w:rPr>
              <w:rFonts w:ascii="Times New Roman" w:hAnsi="Times New Roman"/>
              <w:sz w:val="20"/>
              <w:szCs w:val="20"/>
            </w:rPr>
            <m:t>забезпечень</m:t>
          </m:r>
          <m:r>
            <m:rPr>
              <m:sty m:val="p"/>
            </m:rPr>
            <w:rPr>
              <w:rFonts w:ascii="Cambria Math" w:hAnsi="Times New Roman"/>
              <w:sz w:val="20"/>
              <w:szCs w:val="20"/>
            </w:rPr>
            <m:t>=</m:t>
          </m:r>
          <m:f>
            <m:fPr>
              <m:ctrlPr>
                <w:rPr>
                  <w:rFonts w:ascii="Cambria Math" w:hAnsi="Times New Roman"/>
                  <w:sz w:val="20"/>
                  <w:szCs w:val="20"/>
                </w:rPr>
              </m:ctrlPr>
            </m:fPr>
            <m:num>
              <m:r>
                <m:rPr>
                  <m:sty m:val="p"/>
                </m:rPr>
                <w:rPr>
                  <w:rFonts w:ascii="Cambria Math" w:hAnsi="Times New Roman"/>
                  <w:sz w:val="20"/>
                  <w:szCs w:val="20"/>
                </w:rPr>
                <m:t>(</m:t>
              </m:r>
              <m:r>
                <m:rPr>
                  <m:sty m:val="p"/>
                </m:rPr>
                <w:rPr>
                  <w:rFonts w:ascii="Times New Roman" w:hAnsi="Times New Roman"/>
                  <w:sz w:val="20"/>
                  <w:szCs w:val="20"/>
                </w:rPr>
                <m:t>Фонд</m:t>
              </m:r>
              <m:r>
                <m:rPr>
                  <m:sty m:val="p"/>
                </m:rPr>
                <w:rPr>
                  <w:rFonts w:ascii="Cambria Math" w:hAnsi="Times New Roman"/>
                  <w:sz w:val="20"/>
                  <w:szCs w:val="20"/>
                </w:rPr>
                <m:t xml:space="preserve"> </m:t>
              </m:r>
              <m:r>
                <m:rPr>
                  <m:sty m:val="p"/>
                </m:rPr>
                <w:rPr>
                  <w:rFonts w:ascii="Times New Roman" w:hAnsi="Times New Roman"/>
                  <w:sz w:val="20"/>
                  <w:szCs w:val="20"/>
                </w:rPr>
                <m:t>оплати</m:t>
              </m:r>
              <m:r>
                <m:rPr>
                  <m:sty m:val="p"/>
                </m:rPr>
                <w:rPr>
                  <w:rFonts w:ascii="Cambria Math" w:hAnsi="Times New Roman"/>
                  <w:sz w:val="20"/>
                  <w:szCs w:val="20"/>
                </w:rPr>
                <m:t xml:space="preserve"> </m:t>
              </m:r>
              <m:r>
                <m:rPr>
                  <m:sty m:val="p"/>
                </m:rPr>
                <w:rPr>
                  <w:rFonts w:ascii="Times New Roman" w:hAnsi="Times New Roman"/>
                  <w:sz w:val="20"/>
                  <w:szCs w:val="20"/>
                </w:rPr>
                <m:t>праці</m:t>
              </m:r>
              <m:r>
                <m:rPr>
                  <m:sty m:val="p"/>
                </m:rPr>
                <w:rPr>
                  <w:rFonts w:ascii="Cambria Math" w:hAnsi="Times New Roman"/>
                  <w:sz w:val="20"/>
                  <w:szCs w:val="20"/>
                </w:rPr>
                <m:t xml:space="preserve"> + </m:t>
              </m:r>
              <m:r>
                <m:rPr>
                  <m:sty m:val="p"/>
                </m:rPr>
                <w:rPr>
                  <w:rFonts w:ascii="Times New Roman" w:hAnsi="Times New Roman"/>
                  <w:sz w:val="20"/>
                  <w:szCs w:val="20"/>
                </w:rPr>
                <m:t>нарахування</m:t>
              </m:r>
              <m:r>
                <m:rPr>
                  <m:sty m:val="p"/>
                </m:rPr>
                <w:rPr>
                  <w:rFonts w:ascii="Cambria Math" w:hAnsi="Times New Roman"/>
                  <w:sz w:val="20"/>
                  <w:szCs w:val="20"/>
                </w:rPr>
                <m:t xml:space="preserve"> </m:t>
              </m:r>
              <m:r>
                <m:rPr>
                  <m:sty m:val="p"/>
                </m:rPr>
                <w:rPr>
                  <w:rFonts w:ascii="Times New Roman" w:hAnsi="Times New Roman"/>
                  <w:sz w:val="20"/>
                  <w:szCs w:val="20"/>
                </w:rPr>
                <m:t>єдиного</m:t>
              </m:r>
              <m:r>
                <m:rPr>
                  <m:sty m:val="p"/>
                </m:rPr>
                <w:rPr>
                  <w:rFonts w:ascii="Cambria Math" w:hAnsi="Times New Roman"/>
                  <w:sz w:val="20"/>
                  <w:szCs w:val="20"/>
                </w:rPr>
                <m:t xml:space="preserve"> </m:t>
              </m:r>
              <m:r>
                <m:rPr>
                  <m:sty m:val="p"/>
                </m:rPr>
                <w:rPr>
                  <w:rFonts w:ascii="Times New Roman" w:hAnsi="Times New Roman"/>
                  <w:sz w:val="20"/>
                  <w:szCs w:val="20"/>
                </w:rPr>
                <m:t>соціального</m:t>
              </m:r>
              <m:r>
                <m:rPr>
                  <m:sty m:val="p"/>
                </m:rPr>
                <w:rPr>
                  <w:rFonts w:ascii="Cambria Math" w:hAnsi="Times New Roman"/>
                  <w:sz w:val="20"/>
                  <w:szCs w:val="20"/>
                </w:rPr>
                <m:t xml:space="preserve"> </m:t>
              </m:r>
              <m:r>
                <m:rPr>
                  <m:sty m:val="p"/>
                </m:rPr>
                <w:rPr>
                  <w:rFonts w:ascii="Times New Roman" w:hAnsi="Times New Roman"/>
                  <w:sz w:val="20"/>
                  <w:szCs w:val="20"/>
                </w:rPr>
                <m:t>внеску</m:t>
              </m:r>
              <m:r>
                <m:rPr>
                  <m:sty m:val="p"/>
                </m:rPr>
                <w:rPr>
                  <w:rFonts w:ascii="Cambria Math" w:hAnsi="Times New Roman"/>
                  <w:sz w:val="20"/>
                  <w:szCs w:val="20"/>
                </w:rPr>
                <m:t xml:space="preserve">) </m:t>
              </m:r>
            </m:num>
            <m:den>
              <m:r>
                <m:rPr>
                  <m:sty m:val="p"/>
                </m:rPr>
                <w:rPr>
                  <w:rFonts w:ascii="Times New Roman" w:hAnsi="Times New Roman"/>
                  <w:sz w:val="20"/>
                  <w:szCs w:val="20"/>
                </w:rPr>
                <m:t>к-ть</m:t>
              </m:r>
              <m:r>
                <m:rPr>
                  <m:sty m:val="p"/>
                </m:rPr>
                <w:rPr>
                  <w:rFonts w:ascii="Cambria Math" w:hAnsi="Times New Roman"/>
                  <w:sz w:val="20"/>
                  <w:szCs w:val="20"/>
                </w:rPr>
                <m:t xml:space="preserve"> </m:t>
              </m:r>
              <m:r>
                <m:rPr>
                  <m:sty m:val="p"/>
                </m:rPr>
                <w:rPr>
                  <w:rFonts w:ascii="Times New Roman" w:hAnsi="Times New Roman"/>
                  <w:sz w:val="20"/>
                  <w:szCs w:val="20"/>
                </w:rPr>
                <m:t>календар</m:t>
              </m:r>
              <m:r>
                <m:rPr>
                  <m:sty m:val="p"/>
                </m:rPr>
                <w:rPr>
                  <w:rFonts w:ascii="Cambria Math" w:hAnsi="Times New Roman"/>
                  <w:sz w:val="20"/>
                  <w:szCs w:val="20"/>
                </w:rPr>
                <m:t xml:space="preserve">. </m:t>
              </m:r>
              <m:r>
                <m:rPr>
                  <m:sty m:val="p"/>
                </m:rPr>
                <w:rPr>
                  <w:rFonts w:ascii="Times New Roman" w:hAnsi="Times New Roman"/>
                  <w:sz w:val="20"/>
                  <w:szCs w:val="20"/>
                </w:rPr>
                <m:t>днів</m:t>
              </m:r>
              <m:r>
                <m:rPr>
                  <m:sty m:val="p"/>
                </m:rPr>
                <w:rPr>
                  <w:rFonts w:ascii="Cambria Math" w:hAnsi="Times New Roman"/>
                  <w:sz w:val="20"/>
                  <w:szCs w:val="20"/>
                </w:rPr>
                <m:t xml:space="preserve"> </m:t>
              </m:r>
              <m:r>
                <m:rPr>
                  <m:sty m:val="p"/>
                </m:rPr>
                <w:rPr>
                  <w:rFonts w:ascii="Times New Roman" w:hAnsi="Times New Roman"/>
                  <w:sz w:val="20"/>
                  <w:szCs w:val="20"/>
                </w:rPr>
                <m:t>у</m:t>
              </m:r>
              <m:r>
                <m:rPr>
                  <m:sty m:val="p"/>
                </m:rPr>
                <w:rPr>
                  <w:rFonts w:ascii="Cambria Math" w:hAnsi="Times New Roman"/>
                  <w:sz w:val="20"/>
                  <w:szCs w:val="20"/>
                </w:rPr>
                <m:t xml:space="preserve"> </m:t>
              </m:r>
              <m:r>
                <m:rPr>
                  <m:sty m:val="p"/>
                </m:rPr>
                <w:rPr>
                  <w:rFonts w:ascii="Times New Roman" w:hAnsi="Times New Roman"/>
                  <w:sz w:val="20"/>
                  <w:szCs w:val="20"/>
                </w:rPr>
                <m:t>поточному</m:t>
              </m:r>
              <m:r>
                <m:rPr>
                  <m:sty m:val="p"/>
                </m:rPr>
                <w:rPr>
                  <w:rFonts w:ascii="Cambria Math" w:hAnsi="Times New Roman"/>
                  <w:sz w:val="20"/>
                  <w:szCs w:val="20"/>
                </w:rPr>
                <m:t xml:space="preserve"> </m:t>
              </m:r>
              <m:r>
                <m:rPr>
                  <m:sty m:val="p"/>
                </m:rPr>
                <w:rPr>
                  <w:rFonts w:ascii="Times New Roman" w:hAnsi="Times New Roman"/>
                  <w:sz w:val="20"/>
                  <w:szCs w:val="20"/>
                </w:rPr>
                <m:t>кварталі</m:t>
              </m:r>
              <m:r>
                <m:rPr>
                  <m:sty m:val="p"/>
                </m:rPr>
                <w:rPr>
                  <w:rFonts w:ascii="Cambria Math" w:hAnsi="Times New Roman"/>
                  <w:sz w:val="20"/>
                  <w:szCs w:val="20"/>
                </w:rPr>
                <m:t xml:space="preserve"> (</m:t>
              </m:r>
              <m:r>
                <m:rPr>
                  <m:sty m:val="p"/>
                </m:rPr>
                <w:rPr>
                  <w:rFonts w:ascii="Times New Roman" w:hAnsi="Times New Roman"/>
                  <w:sz w:val="20"/>
                  <w:szCs w:val="20"/>
                </w:rPr>
                <m:t>за</m:t>
              </m:r>
              <m:r>
                <m:rPr>
                  <m:sty m:val="p"/>
                </m:rPr>
                <w:rPr>
                  <w:rFonts w:ascii="Cambria Math" w:hAnsi="Times New Roman"/>
                  <w:sz w:val="20"/>
                  <w:szCs w:val="20"/>
                </w:rPr>
                <m:t xml:space="preserve"> </m:t>
              </m:r>
              <m:r>
                <m:rPr>
                  <m:sty m:val="p"/>
                </m:rPr>
                <w:rPr>
                  <w:rFonts w:ascii="Times New Roman" w:hAnsi="Times New Roman"/>
                  <w:sz w:val="20"/>
                  <w:szCs w:val="20"/>
                </w:rPr>
                <m:t>виключенням</m:t>
              </m:r>
              <m:r>
                <m:rPr>
                  <m:sty m:val="p"/>
                </m:rPr>
                <w:rPr>
                  <w:rFonts w:ascii="Cambria Math" w:hAnsi="Times New Roman"/>
                  <w:sz w:val="20"/>
                  <w:szCs w:val="20"/>
                </w:rPr>
                <m:t xml:space="preserve"> </m:t>
              </m:r>
              <m:r>
                <m:rPr>
                  <m:sty m:val="p"/>
                </m:rPr>
                <w:rPr>
                  <w:rFonts w:ascii="Times New Roman" w:hAnsi="Times New Roman"/>
                  <w:sz w:val="20"/>
                  <w:szCs w:val="20"/>
                </w:rPr>
                <m:t>святкових</m:t>
              </m:r>
              <m:r>
                <m:rPr>
                  <m:sty m:val="p"/>
                </m:rPr>
                <w:rPr>
                  <w:rFonts w:ascii="Cambria Math" w:hAnsi="Times New Roman"/>
                  <w:sz w:val="20"/>
                  <w:szCs w:val="20"/>
                </w:rPr>
                <m:t xml:space="preserve"> </m:t>
              </m:r>
              <m:r>
                <m:rPr>
                  <m:sty m:val="p"/>
                </m:rPr>
                <w:rPr>
                  <w:rFonts w:ascii="Times New Roman" w:hAnsi="Times New Roman"/>
                  <w:sz w:val="20"/>
                  <w:szCs w:val="20"/>
                </w:rPr>
                <m:t>днів</m:t>
              </m:r>
              <m:r>
                <m:rPr>
                  <m:sty m:val="p"/>
                </m:rPr>
                <w:rPr>
                  <w:rFonts w:ascii="Cambria Math" w:hAnsi="Times New Roman"/>
                  <w:sz w:val="20"/>
                  <w:szCs w:val="20"/>
                </w:rPr>
                <m:t>)</m:t>
              </m:r>
            </m:den>
          </m:f>
          <m:r>
            <w:rPr>
              <w:rFonts w:ascii="Times New Roman" w:hAnsi="Times New Roman"/>
              <w:sz w:val="20"/>
              <w:szCs w:val="20"/>
            </w:rPr>
            <m:t>×</m:t>
          </m:r>
          <m:r>
            <w:rPr>
              <w:rFonts w:ascii="Cambria Math" w:hAnsi="Times New Roman"/>
              <w:sz w:val="20"/>
              <w:szCs w:val="20"/>
            </w:rPr>
            <m:t>2</m:t>
          </m:r>
        </m:oMath>
      </m:oMathPara>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Суми створених забезпечень визнаються витратами.</w:t>
      </w:r>
    </w:p>
    <w:p w:rsidR="00D6656A" w:rsidRPr="000572AB" w:rsidRDefault="00D6656A" w:rsidP="00D542E2">
      <w:pPr>
        <w:spacing w:after="0" w:line="240" w:lineRule="auto"/>
        <w:ind w:firstLine="709"/>
        <w:contextualSpacing/>
        <w:jc w:val="both"/>
        <w:rPr>
          <w:rFonts w:ascii="Times New Roman" w:hAnsi="Times New Roman"/>
          <w:b/>
          <w:sz w:val="20"/>
          <w:szCs w:val="20"/>
        </w:rPr>
      </w:pPr>
    </w:p>
    <w:p w:rsidR="00D161F9" w:rsidRPr="000572AB" w:rsidRDefault="00D161F9" w:rsidP="00D542E2">
      <w:pPr>
        <w:pStyle w:val="a"/>
        <w:rPr>
          <w:sz w:val="20"/>
          <w:szCs w:val="20"/>
        </w:rPr>
      </w:pPr>
      <w:r w:rsidRPr="000572AB">
        <w:rPr>
          <w:sz w:val="20"/>
          <w:szCs w:val="20"/>
        </w:rPr>
        <w:t>Винагороди працівникам</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Всі винагороди працівникам Товариства враховуються як поточні, відповідно до МСБО 19 «Виплати працівникам».</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Виплати працівникам включають:</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а) короткострокові виплати працівникам, такі як заробітна плата, оплачені щорічні відпустки та тимчасова непрацездатність, участь у прибутку та премії (якщо вони підлягають сплаті протягом дванадцяти місяців після закінчення періоду);</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б) виплати по закінченні трудової діяльності, такі як пенсії, інші види пенсійного забезпечення, страхування життя та медичне обслуговування по закінченні трудової діяльності;</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в) інші довгострокові виплати працівникам, включаючи додаткову відпустку за вислугу років або оплачувану академічну відпустку, виплати з нагоди ювілеїв чи інші виплати за вислугу років, виплати за тривалою непрацездатністю, а також отримання частки прибутку, премії та відстрочену компенсацію, якщо вони підлягають сплаті після завершення дванадцяти місяців після закінчення періоду або пізніше;</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г) виплати при звільненні.</w:t>
      </w:r>
    </w:p>
    <w:p w:rsidR="00F17A34" w:rsidRPr="000572AB" w:rsidRDefault="00F17A34" w:rsidP="00D542E2">
      <w:pPr>
        <w:spacing w:after="0" w:line="240" w:lineRule="auto"/>
        <w:ind w:firstLine="709"/>
        <w:contextualSpacing/>
        <w:jc w:val="both"/>
        <w:rPr>
          <w:rFonts w:ascii="Times New Roman" w:hAnsi="Times New Roman"/>
          <w:b/>
          <w:sz w:val="20"/>
          <w:szCs w:val="20"/>
        </w:rPr>
      </w:pPr>
    </w:p>
    <w:p w:rsidR="00D161F9" w:rsidRPr="000572AB" w:rsidRDefault="00D161F9" w:rsidP="00D542E2">
      <w:pPr>
        <w:pStyle w:val="a"/>
        <w:rPr>
          <w:sz w:val="20"/>
          <w:szCs w:val="20"/>
        </w:rPr>
      </w:pPr>
      <w:r w:rsidRPr="000572AB">
        <w:rPr>
          <w:sz w:val="20"/>
          <w:szCs w:val="20"/>
        </w:rPr>
        <w:t>Визнання доходів і витрат</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 xml:space="preserve">Дохід - це валове надходження економічних вигід протягом періоду, що виникає в ході звичайної діяльності </w:t>
      </w:r>
      <w:r w:rsidR="00AA0085" w:rsidRPr="000572AB">
        <w:rPr>
          <w:rFonts w:ascii="Times New Roman" w:hAnsi="Times New Roman"/>
          <w:sz w:val="20"/>
          <w:szCs w:val="20"/>
        </w:rPr>
        <w:t>товариства</w:t>
      </w:r>
      <w:r w:rsidRPr="000572AB">
        <w:rPr>
          <w:rFonts w:ascii="Times New Roman" w:hAnsi="Times New Roman"/>
          <w:sz w:val="20"/>
          <w:szCs w:val="20"/>
        </w:rPr>
        <w:t>, коли власний капітал зростає в результаті цього надходження, а не в результаті внесків учасників власного капіталу.</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Доходи Товариства визнаються на основі принципу нарахування, коли існує впевненість, що в результаті операції відбудеться збільшення економічних вигод, а сума доходу може бути достовірно визначена.</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Дохід Товариства від надання факторингових послуг визнається в періоді погашення (часткового погашення) заборгованості Боржником на суму, що перевищує вартість придбання заборгованості (собівартість).</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Дохід Товариства від операцій з фінансовими інструментами, що утримуються до погашення, за умови наявності інформації про суму та дату погашення заборгованості, визнається в момент амортизації дисконту (поквартально). Амортизація дисконту обчислюється за формулою:</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 xml:space="preserve">D  =  (PV – FV)/t                         </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D – сума дисконту за звітний період (квартал);</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PV - балансова вартість фінансового інструменту на момент визнання фінансового інструменту;</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FV – очікувані грошові потоки від утримання фінансового інструменту;</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t - період часу з моменту визнання фінансового інструменту до моменту його погашення, звітних кварталів.</w:t>
      </w:r>
    </w:p>
    <w:p w:rsidR="00D161F9" w:rsidRPr="000572AB" w:rsidRDefault="00273192"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Здійснюється</w:t>
      </w:r>
      <w:r w:rsidR="00D161F9" w:rsidRPr="000572AB">
        <w:rPr>
          <w:rFonts w:ascii="Times New Roman" w:hAnsi="Times New Roman"/>
          <w:sz w:val="20"/>
          <w:szCs w:val="20"/>
        </w:rPr>
        <w:t xml:space="preserve"> дисконтування фінансових інструментів, утримуваних до погашення, 1 раз в квартал (станом на кінець кварталу).</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У випадку, якщо у Товариства відсутня інформація щодо суми погашення фінансового інструменті та (або) дати погашення, такі фінансові інструменти відображаються за собівартістю з урахуванням зменшення корисності.</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 xml:space="preserve">Дохід Товариства за договорами гарантії та поруки визнається у звітному періоді, виходячи з розміру винагороди за договором, пропорційно кількості днів надання гарантії і поручительства у звітному періоді в загальній кількості днів надання гарантії та поручительств. </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Витрати визнаються одночасно з визнанням доходу, для отримання якого вони здійснені. Обліку підлягають фактично понесені витрати (які мають документальне підтвердження їх здійснення), або прогнозовані витрати, за довідкою, затвердженою  директором, (наприклад, нарахування резерву сумнівних боргів).</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Транспортно-заготівельні, монтажно-налагоджувальні та інші витрати, пов’язані з придбанням запасів, необоротних активів не включаються до складу витрат, а підлягають віднесенню на відповідні рахунки обліку необоротних активів та запасів.</w:t>
      </w:r>
    </w:p>
    <w:p w:rsidR="00D161F9" w:rsidRPr="000572AB" w:rsidRDefault="00D161F9"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 xml:space="preserve">Для обліку витрат використовуються рахунки 9 класу. </w:t>
      </w:r>
    </w:p>
    <w:p w:rsidR="00D161F9" w:rsidRPr="000572AB" w:rsidRDefault="00D161F9" w:rsidP="00D542E2">
      <w:pPr>
        <w:spacing w:after="0" w:line="240" w:lineRule="auto"/>
        <w:ind w:firstLine="709"/>
        <w:contextualSpacing/>
        <w:jc w:val="both"/>
        <w:rPr>
          <w:rFonts w:ascii="Times New Roman" w:hAnsi="Times New Roman"/>
          <w:sz w:val="20"/>
          <w:szCs w:val="20"/>
          <w:lang w:val="ru-RU"/>
        </w:rPr>
      </w:pPr>
      <w:r w:rsidRPr="000572AB">
        <w:rPr>
          <w:rFonts w:ascii="Times New Roman" w:hAnsi="Times New Roman"/>
          <w:sz w:val="20"/>
          <w:szCs w:val="20"/>
        </w:rPr>
        <w:t>Визначення фінансового результату проводиться поквартально.</w:t>
      </w:r>
    </w:p>
    <w:p w:rsidR="00D638FE" w:rsidRPr="000572AB" w:rsidRDefault="00D638FE" w:rsidP="00D542E2">
      <w:pPr>
        <w:spacing w:after="0" w:line="240" w:lineRule="auto"/>
        <w:ind w:firstLine="709"/>
        <w:contextualSpacing/>
        <w:jc w:val="both"/>
        <w:rPr>
          <w:rFonts w:ascii="Times New Roman" w:hAnsi="Times New Roman"/>
          <w:sz w:val="20"/>
          <w:szCs w:val="20"/>
          <w:lang w:val="ru-RU"/>
        </w:rPr>
      </w:pPr>
    </w:p>
    <w:p w:rsidR="00D638FE" w:rsidRPr="000572AB" w:rsidRDefault="00BB7D6A" w:rsidP="00D542E2">
      <w:pPr>
        <w:pStyle w:val="a"/>
        <w:rPr>
          <w:sz w:val="20"/>
          <w:szCs w:val="20"/>
        </w:rPr>
      </w:pPr>
      <w:r w:rsidRPr="000572AB">
        <w:rPr>
          <w:sz w:val="20"/>
          <w:szCs w:val="20"/>
        </w:rPr>
        <w:t xml:space="preserve"> </w:t>
      </w:r>
      <w:r w:rsidR="00D638FE" w:rsidRPr="000572AB">
        <w:rPr>
          <w:sz w:val="20"/>
          <w:szCs w:val="20"/>
        </w:rPr>
        <w:t>Операції з іноземною валютою</w:t>
      </w:r>
    </w:p>
    <w:p w:rsidR="00D638FE" w:rsidRPr="000572AB" w:rsidRDefault="00D638FE"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572AB">
        <w:rPr>
          <w:rFonts w:ascii="Times New Roman" w:hAnsi="Times New Roman"/>
          <w:sz w:val="20"/>
          <w:szCs w:val="20"/>
        </w:rPr>
        <w:t>Операції в іноземній валюті обліковуються в українських гривнях за офіційним курсом обміну Національного банку України на дату проведення операцій.</w:t>
      </w:r>
    </w:p>
    <w:p w:rsidR="00D638FE" w:rsidRPr="000572AB" w:rsidRDefault="00D638FE"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572AB">
        <w:rPr>
          <w:rFonts w:ascii="Times New Roman" w:hAnsi="Times New Roman"/>
          <w:sz w:val="20"/>
          <w:szCs w:val="20"/>
        </w:rPr>
        <w:t>Монетарні активи та зобов'язання, виражені в іноземних валютах, перераховуються в гривню за відповідними курсами обміну НБУ на дату балансу. Немонетарні статті, які оцінюються за історичною собівартістю в іноземній валюті, відображаються за курсом на дату операції, немонетарні статті, які оцінюються за справедливою вартістю в іноземній валюті, відображаються за курсом на дату визначення справедливої вартості. Курсові різниці, що виникли при перерахунку за монетарними статтями, визнаються в прибутку або збитку в тому періоді, у якому вони виникають.</w:t>
      </w:r>
    </w:p>
    <w:p w:rsidR="00D638FE" w:rsidRPr="000572AB" w:rsidRDefault="00D638FE"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572AB">
        <w:rPr>
          <w:rFonts w:ascii="Times New Roman" w:hAnsi="Times New Roman"/>
          <w:sz w:val="20"/>
          <w:szCs w:val="20"/>
        </w:rPr>
        <w:t>Товариство використовувало обмінні курси на дату балансу:</w:t>
      </w:r>
    </w:p>
    <w:p w:rsidR="00D638FE" w:rsidRPr="000572AB" w:rsidRDefault="00D638FE" w:rsidP="00D542E2">
      <w:pPr>
        <w:shd w:val="clear" w:color="auto" w:fill="FFFFFF"/>
        <w:tabs>
          <w:tab w:val="left" w:pos="6533"/>
        </w:tabs>
        <w:spacing w:after="0" w:line="240" w:lineRule="auto"/>
        <w:ind w:firstLine="709"/>
        <w:rPr>
          <w:rFonts w:ascii="Times New Roman" w:hAnsi="Times New Roman"/>
          <w:sz w:val="20"/>
          <w:szCs w:val="20"/>
          <w:lang w:val="ru-RU"/>
        </w:rPr>
      </w:pPr>
      <w:r w:rsidRPr="000572AB">
        <w:rPr>
          <w:rFonts w:ascii="Times New Roman" w:hAnsi="Times New Roman"/>
          <w:b/>
          <w:bCs/>
          <w:sz w:val="20"/>
          <w:szCs w:val="20"/>
        </w:rPr>
        <w:lastRenderedPageBreak/>
        <w:tab/>
      </w:r>
      <w:r w:rsidRPr="000572AB">
        <w:rPr>
          <w:rFonts w:ascii="Times New Roman" w:hAnsi="Times New Roman"/>
          <w:b/>
          <w:bCs/>
          <w:spacing w:val="-1"/>
          <w:sz w:val="20"/>
          <w:szCs w:val="20"/>
        </w:rPr>
        <w:t>31.12.2017</w:t>
      </w:r>
    </w:p>
    <w:p w:rsidR="00D638FE" w:rsidRPr="000572AB" w:rsidRDefault="00D638FE" w:rsidP="00D542E2">
      <w:pPr>
        <w:shd w:val="clear" w:color="auto" w:fill="FFFFFF"/>
        <w:tabs>
          <w:tab w:val="left" w:pos="3451"/>
          <w:tab w:val="left" w:pos="6571"/>
        </w:tabs>
        <w:spacing w:after="0" w:line="240" w:lineRule="auto"/>
        <w:ind w:firstLine="709"/>
        <w:rPr>
          <w:rFonts w:ascii="Times New Roman" w:hAnsi="Times New Roman"/>
          <w:spacing w:val="-8"/>
          <w:sz w:val="20"/>
          <w:szCs w:val="20"/>
        </w:rPr>
      </w:pPr>
      <w:r w:rsidRPr="000572AB">
        <w:rPr>
          <w:rFonts w:ascii="Times New Roman" w:hAnsi="Times New Roman"/>
          <w:spacing w:val="-3"/>
          <w:sz w:val="20"/>
          <w:szCs w:val="20"/>
        </w:rPr>
        <w:t>Гривня/1 долар США</w:t>
      </w:r>
      <w:r w:rsidRPr="000572AB">
        <w:rPr>
          <w:rFonts w:ascii="Times New Roman" w:hAnsi="Times New Roman"/>
          <w:sz w:val="20"/>
          <w:szCs w:val="20"/>
        </w:rPr>
        <w:tab/>
      </w:r>
      <w:r w:rsidRPr="000572AB">
        <w:rPr>
          <w:rFonts w:ascii="Times New Roman" w:hAnsi="Times New Roman"/>
          <w:sz w:val="20"/>
          <w:szCs w:val="20"/>
        </w:rPr>
        <w:tab/>
      </w:r>
      <w:r w:rsidRPr="000572AB">
        <w:rPr>
          <w:rFonts w:ascii="Times New Roman" w:hAnsi="Times New Roman"/>
          <w:spacing w:val="-8"/>
          <w:sz w:val="20"/>
          <w:szCs w:val="20"/>
        </w:rPr>
        <w:t>28,067223</w:t>
      </w:r>
    </w:p>
    <w:p w:rsidR="00D638FE" w:rsidRPr="000572AB" w:rsidRDefault="00D638FE" w:rsidP="00D542E2">
      <w:pPr>
        <w:shd w:val="clear" w:color="auto" w:fill="FFFFFF"/>
        <w:tabs>
          <w:tab w:val="left" w:pos="3427"/>
          <w:tab w:val="left" w:pos="6571"/>
        </w:tabs>
        <w:spacing w:after="0" w:line="240" w:lineRule="auto"/>
        <w:ind w:firstLine="709"/>
        <w:rPr>
          <w:rFonts w:ascii="Times New Roman" w:hAnsi="Times New Roman"/>
          <w:spacing w:val="-8"/>
          <w:sz w:val="20"/>
          <w:szCs w:val="20"/>
        </w:rPr>
      </w:pPr>
      <w:r w:rsidRPr="000572AB">
        <w:rPr>
          <w:rFonts w:ascii="Times New Roman" w:hAnsi="Times New Roman"/>
          <w:spacing w:val="-3"/>
          <w:sz w:val="20"/>
          <w:szCs w:val="20"/>
        </w:rPr>
        <w:t>Гривня/1 євро</w:t>
      </w:r>
      <w:r w:rsidRPr="000572AB">
        <w:rPr>
          <w:rFonts w:ascii="Times New Roman" w:hAnsi="Times New Roman"/>
          <w:spacing w:val="-8"/>
          <w:sz w:val="20"/>
          <w:szCs w:val="20"/>
        </w:rPr>
        <w:tab/>
      </w:r>
      <w:r w:rsidRPr="000572AB">
        <w:rPr>
          <w:rFonts w:ascii="Times New Roman" w:hAnsi="Times New Roman"/>
          <w:spacing w:val="-8"/>
          <w:sz w:val="20"/>
          <w:szCs w:val="20"/>
        </w:rPr>
        <w:tab/>
        <w:t>33,495424</w:t>
      </w:r>
    </w:p>
    <w:p w:rsidR="00D638FE" w:rsidRPr="000572AB" w:rsidRDefault="00D638FE" w:rsidP="00D542E2">
      <w:pPr>
        <w:spacing w:after="0" w:line="240" w:lineRule="auto"/>
        <w:ind w:firstLine="709"/>
        <w:contextualSpacing/>
        <w:jc w:val="both"/>
        <w:rPr>
          <w:rFonts w:ascii="Times New Roman" w:hAnsi="Times New Roman"/>
          <w:sz w:val="20"/>
          <w:szCs w:val="20"/>
        </w:rPr>
      </w:pPr>
    </w:p>
    <w:p w:rsidR="00637BA4" w:rsidRPr="000572AB" w:rsidRDefault="00637BA4" w:rsidP="00D542E2">
      <w:pPr>
        <w:pStyle w:val="a"/>
        <w:rPr>
          <w:sz w:val="20"/>
          <w:szCs w:val="20"/>
        </w:rPr>
      </w:pPr>
      <w:r w:rsidRPr="000572AB">
        <w:rPr>
          <w:sz w:val="20"/>
          <w:szCs w:val="20"/>
        </w:rPr>
        <w:t>Баланс (Звіт про фінансовий стан)</w:t>
      </w:r>
    </w:p>
    <w:p w:rsidR="00637BA4" w:rsidRPr="000572AB" w:rsidRDefault="00637BA4"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 xml:space="preserve">Відомості </w:t>
      </w:r>
      <w:r w:rsidR="009F5579" w:rsidRPr="000572AB">
        <w:rPr>
          <w:rFonts w:ascii="Times New Roman" w:hAnsi="Times New Roman"/>
          <w:sz w:val="20"/>
          <w:szCs w:val="20"/>
        </w:rPr>
        <w:t xml:space="preserve">форми № 1 «Баланс (Звіт про фінансовий стан)» </w:t>
      </w:r>
      <w:r w:rsidRPr="000572AB">
        <w:rPr>
          <w:rFonts w:ascii="Times New Roman" w:hAnsi="Times New Roman"/>
          <w:sz w:val="20"/>
          <w:szCs w:val="20"/>
        </w:rPr>
        <w:t>виклад</w:t>
      </w:r>
      <w:r w:rsidR="00524461" w:rsidRPr="000572AB">
        <w:rPr>
          <w:rFonts w:ascii="Times New Roman" w:hAnsi="Times New Roman"/>
          <w:sz w:val="20"/>
          <w:szCs w:val="20"/>
        </w:rPr>
        <w:t xml:space="preserve">ені у розрізі поточних </w:t>
      </w:r>
      <w:r w:rsidRPr="000572AB">
        <w:rPr>
          <w:rFonts w:ascii="Times New Roman" w:hAnsi="Times New Roman"/>
          <w:sz w:val="20"/>
          <w:szCs w:val="20"/>
        </w:rPr>
        <w:t xml:space="preserve">та </w:t>
      </w:r>
      <w:r w:rsidR="00524461" w:rsidRPr="000572AB">
        <w:rPr>
          <w:rFonts w:ascii="Times New Roman" w:hAnsi="Times New Roman"/>
          <w:sz w:val="20"/>
          <w:szCs w:val="20"/>
        </w:rPr>
        <w:t>непоточних</w:t>
      </w:r>
      <w:r w:rsidRPr="000572AB">
        <w:rPr>
          <w:rFonts w:ascii="Times New Roman" w:hAnsi="Times New Roman"/>
          <w:sz w:val="20"/>
          <w:szCs w:val="20"/>
        </w:rPr>
        <w:t xml:space="preserve"> активів</w:t>
      </w:r>
      <w:r w:rsidR="00524461" w:rsidRPr="000572AB">
        <w:rPr>
          <w:rFonts w:ascii="Times New Roman" w:hAnsi="Times New Roman"/>
          <w:sz w:val="20"/>
          <w:szCs w:val="20"/>
        </w:rPr>
        <w:t xml:space="preserve"> та поточних та непоточних зобов’язань</w:t>
      </w:r>
      <w:r w:rsidRPr="000572AB">
        <w:rPr>
          <w:rFonts w:ascii="Times New Roman" w:hAnsi="Times New Roman"/>
          <w:sz w:val="20"/>
          <w:szCs w:val="20"/>
        </w:rPr>
        <w:t>.</w:t>
      </w:r>
    </w:p>
    <w:p w:rsidR="00637BA4" w:rsidRPr="000572AB" w:rsidRDefault="00637BA4" w:rsidP="00D542E2">
      <w:pPr>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Для подання у балансі здійснено розмежування активів та зоб</w:t>
      </w:r>
      <w:r w:rsidR="009F5579" w:rsidRPr="000572AB">
        <w:rPr>
          <w:rFonts w:ascii="Times New Roman" w:hAnsi="Times New Roman"/>
          <w:sz w:val="20"/>
          <w:szCs w:val="20"/>
        </w:rPr>
        <w:t xml:space="preserve">ов’язань на поточні (оборотні) </w:t>
      </w:r>
      <w:r w:rsidRPr="000572AB">
        <w:rPr>
          <w:rFonts w:ascii="Times New Roman" w:hAnsi="Times New Roman"/>
          <w:sz w:val="20"/>
          <w:szCs w:val="20"/>
        </w:rPr>
        <w:t xml:space="preserve">та </w:t>
      </w:r>
      <w:r w:rsidR="00BA5C5E" w:rsidRPr="000572AB">
        <w:rPr>
          <w:rFonts w:ascii="Times New Roman" w:hAnsi="Times New Roman"/>
          <w:sz w:val="20"/>
          <w:szCs w:val="20"/>
        </w:rPr>
        <w:t>непоточні</w:t>
      </w:r>
      <w:r w:rsidR="009F5579" w:rsidRPr="000572AB">
        <w:rPr>
          <w:rFonts w:ascii="Times New Roman" w:hAnsi="Times New Roman"/>
          <w:sz w:val="20"/>
          <w:szCs w:val="20"/>
        </w:rPr>
        <w:t xml:space="preserve"> (необоротні)</w:t>
      </w:r>
      <w:r w:rsidRPr="000572AB">
        <w:rPr>
          <w:rFonts w:ascii="Times New Roman" w:hAnsi="Times New Roman"/>
          <w:sz w:val="20"/>
          <w:szCs w:val="20"/>
        </w:rPr>
        <w:t xml:space="preserve"> відповідно до вимог МСБО 1 «Подання фінансових звітів». До поточних активів та зобов’язань віднесено суми, що очікуються до відшкодування або погашення протягом 12 місяців від дати балансу.</w:t>
      </w:r>
    </w:p>
    <w:p w:rsidR="00637BA4" w:rsidRPr="000572AB" w:rsidRDefault="00637BA4" w:rsidP="00D542E2">
      <w:pPr>
        <w:spacing w:after="0" w:line="240" w:lineRule="auto"/>
        <w:ind w:firstLine="709"/>
        <w:jc w:val="both"/>
        <w:rPr>
          <w:rFonts w:ascii="Times New Roman" w:hAnsi="Times New Roman"/>
          <w:sz w:val="20"/>
          <w:szCs w:val="20"/>
        </w:rPr>
      </w:pPr>
    </w:p>
    <w:p w:rsidR="009F5579" w:rsidRPr="000572AB" w:rsidRDefault="00BB7D6A" w:rsidP="00D542E2">
      <w:pPr>
        <w:pStyle w:val="a2"/>
        <w:spacing w:after="0" w:line="240" w:lineRule="auto"/>
        <w:ind w:firstLine="709"/>
        <w:contextualSpacing/>
        <w:rPr>
          <w:rFonts w:ascii="Times New Roman" w:hAnsi="Times New Roman"/>
          <w:b/>
          <w:bCs/>
          <w:sz w:val="20"/>
          <w:szCs w:val="20"/>
        </w:rPr>
      </w:pPr>
      <w:r w:rsidRPr="000572AB">
        <w:rPr>
          <w:rFonts w:ascii="Times New Roman" w:hAnsi="Times New Roman"/>
          <w:b/>
          <w:bCs/>
          <w:sz w:val="20"/>
          <w:szCs w:val="20"/>
        </w:rPr>
        <w:t>18</w:t>
      </w:r>
      <w:r w:rsidR="009F5579" w:rsidRPr="000572AB">
        <w:rPr>
          <w:rFonts w:ascii="Times New Roman" w:hAnsi="Times New Roman"/>
          <w:b/>
          <w:bCs/>
          <w:sz w:val="20"/>
          <w:szCs w:val="20"/>
        </w:rPr>
        <w:t>.1. Нематеріальні активи</w:t>
      </w:r>
      <w:r w:rsidR="0018557E" w:rsidRPr="000572AB">
        <w:rPr>
          <w:rFonts w:ascii="Times New Roman" w:hAnsi="Times New Roman"/>
          <w:b/>
          <w:bCs/>
          <w:sz w:val="20"/>
          <w:szCs w:val="20"/>
        </w:rPr>
        <w:t>.</w:t>
      </w:r>
    </w:p>
    <w:p w:rsidR="009F5579" w:rsidRPr="000572AB" w:rsidRDefault="00152829" w:rsidP="00D542E2">
      <w:pPr>
        <w:pStyle w:val="11"/>
        <w:shd w:val="clear" w:color="auto" w:fill="auto"/>
        <w:spacing w:before="0" w:after="0" w:line="240" w:lineRule="auto"/>
        <w:ind w:firstLine="709"/>
        <w:jc w:val="both"/>
        <w:rPr>
          <w:sz w:val="20"/>
          <w:szCs w:val="20"/>
        </w:rPr>
      </w:pPr>
      <w:r w:rsidRPr="000572AB">
        <w:rPr>
          <w:sz w:val="20"/>
          <w:szCs w:val="20"/>
        </w:rPr>
        <w:t>Н</w:t>
      </w:r>
      <w:r w:rsidR="009F5579" w:rsidRPr="000572AB">
        <w:rPr>
          <w:sz w:val="20"/>
          <w:szCs w:val="20"/>
        </w:rPr>
        <w:t>ематеріальн</w:t>
      </w:r>
      <w:r w:rsidRPr="000572AB">
        <w:rPr>
          <w:sz w:val="20"/>
          <w:szCs w:val="20"/>
        </w:rPr>
        <w:t>і активи</w:t>
      </w:r>
      <w:r w:rsidR="009F5579" w:rsidRPr="000572AB">
        <w:rPr>
          <w:sz w:val="20"/>
          <w:szCs w:val="20"/>
        </w:rPr>
        <w:t xml:space="preserve"> станом на 31.12.201</w:t>
      </w:r>
      <w:r w:rsidR="00383D01" w:rsidRPr="000572AB">
        <w:rPr>
          <w:sz w:val="20"/>
          <w:szCs w:val="20"/>
        </w:rPr>
        <w:t>7</w:t>
      </w:r>
      <w:r w:rsidR="009F5579" w:rsidRPr="000572AB">
        <w:rPr>
          <w:sz w:val="20"/>
          <w:szCs w:val="20"/>
        </w:rPr>
        <w:t xml:space="preserve"> року </w:t>
      </w:r>
      <w:r w:rsidRPr="000572AB">
        <w:rPr>
          <w:sz w:val="20"/>
          <w:szCs w:val="20"/>
        </w:rPr>
        <w:t>відсутні</w:t>
      </w:r>
      <w:r w:rsidR="009F5579" w:rsidRPr="000572AB">
        <w:rPr>
          <w:sz w:val="20"/>
          <w:szCs w:val="20"/>
        </w:rPr>
        <w:t>.</w:t>
      </w:r>
    </w:p>
    <w:p w:rsidR="00E13389" w:rsidRPr="000572AB" w:rsidRDefault="00E13389" w:rsidP="00D542E2">
      <w:pPr>
        <w:tabs>
          <w:tab w:val="left" w:pos="709"/>
        </w:tabs>
        <w:spacing w:after="0" w:line="240" w:lineRule="auto"/>
        <w:ind w:firstLine="567"/>
        <w:jc w:val="both"/>
        <w:rPr>
          <w:rFonts w:ascii="Times New Roman" w:eastAsia="Times New Roman" w:hAnsi="Times New Roman"/>
          <w:sz w:val="20"/>
          <w:szCs w:val="20"/>
        </w:rPr>
      </w:pPr>
      <w:r w:rsidRPr="000572AB">
        <w:rPr>
          <w:rFonts w:ascii="Times New Roman" w:eastAsia="Times New Roman" w:hAnsi="Times New Roman"/>
          <w:sz w:val="20"/>
          <w:szCs w:val="20"/>
        </w:rPr>
        <w:t xml:space="preserve">Обмеження права власності </w:t>
      </w:r>
      <w:r w:rsidR="00094AB4" w:rsidRPr="000572AB">
        <w:rPr>
          <w:rFonts w:ascii="Times New Roman" w:eastAsia="Times New Roman" w:hAnsi="Times New Roman"/>
          <w:sz w:val="20"/>
          <w:szCs w:val="20"/>
        </w:rPr>
        <w:t>Товариства</w:t>
      </w:r>
      <w:r w:rsidRPr="000572AB">
        <w:rPr>
          <w:rFonts w:ascii="Times New Roman" w:eastAsia="Times New Roman" w:hAnsi="Times New Roman"/>
          <w:sz w:val="20"/>
          <w:szCs w:val="20"/>
        </w:rPr>
        <w:t xml:space="preserve"> на нематеріальні активи відсутні.</w:t>
      </w:r>
      <w:r w:rsidR="00181448" w:rsidRPr="000572AB">
        <w:rPr>
          <w:rFonts w:ascii="Times New Roman" w:eastAsia="Times New Roman" w:hAnsi="Times New Roman"/>
          <w:sz w:val="20"/>
          <w:szCs w:val="20"/>
        </w:rPr>
        <w:t xml:space="preserve"> </w:t>
      </w:r>
      <w:r w:rsidRPr="000572AB">
        <w:rPr>
          <w:rFonts w:ascii="Times New Roman" w:eastAsia="Times New Roman" w:hAnsi="Times New Roman"/>
          <w:sz w:val="20"/>
          <w:szCs w:val="20"/>
        </w:rPr>
        <w:t>Відсутні контрактні зобов'язання, пов'язані з придбанням нематеріальних активів.</w:t>
      </w:r>
    </w:p>
    <w:p w:rsidR="00E13389" w:rsidRPr="000572AB" w:rsidRDefault="00E13389" w:rsidP="00D542E2">
      <w:pPr>
        <w:spacing w:after="0" w:line="240" w:lineRule="auto"/>
        <w:ind w:firstLine="567"/>
        <w:jc w:val="both"/>
        <w:rPr>
          <w:rFonts w:ascii="Times New Roman" w:eastAsia="Times New Roman" w:hAnsi="Times New Roman"/>
          <w:sz w:val="20"/>
          <w:szCs w:val="20"/>
        </w:rPr>
      </w:pPr>
      <w:r w:rsidRPr="000572AB">
        <w:rPr>
          <w:rFonts w:ascii="Times New Roman" w:eastAsia="Times New Roman" w:hAnsi="Times New Roman"/>
          <w:sz w:val="20"/>
          <w:szCs w:val="20"/>
        </w:rPr>
        <w:t>Товариство не отримувало нематеріальні активи в результаті об'єднання підприємств.</w:t>
      </w:r>
    </w:p>
    <w:p w:rsidR="00E13389" w:rsidRPr="000572AB" w:rsidRDefault="00E13389" w:rsidP="00D542E2">
      <w:pPr>
        <w:spacing w:after="0" w:line="240" w:lineRule="auto"/>
        <w:ind w:firstLine="567"/>
        <w:jc w:val="both"/>
        <w:rPr>
          <w:rFonts w:ascii="Times New Roman" w:eastAsia="Times New Roman" w:hAnsi="Times New Roman"/>
          <w:sz w:val="20"/>
          <w:szCs w:val="20"/>
        </w:rPr>
      </w:pPr>
      <w:r w:rsidRPr="000572AB">
        <w:rPr>
          <w:rFonts w:ascii="Times New Roman" w:eastAsia="Times New Roman" w:hAnsi="Times New Roman"/>
          <w:sz w:val="20"/>
          <w:szCs w:val="20"/>
        </w:rPr>
        <w:t>Дослідження та розробки у звітному році не проводилися.</w:t>
      </w:r>
    </w:p>
    <w:p w:rsidR="009F5579" w:rsidRPr="000572AB" w:rsidRDefault="009F5579" w:rsidP="00D542E2">
      <w:pPr>
        <w:pStyle w:val="a2"/>
        <w:spacing w:after="0" w:line="240" w:lineRule="auto"/>
        <w:ind w:firstLine="709"/>
        <w:contextualSpacing/>
        <w:rPr>
          <w:rFonts w:ascii="Times New Roman" w:hAnsi="Times New Roman"/>
          <w:b/>
          <w:bCs/>
          <w:sz w:val="20"/>
          <w:szCs w:val="20"/>
        </w:rPr>
      </w:pPr>
    </w:p>
    <w:p w:rsidR="009F5579" w:rsidRPr="000572AB" w:rsidRDefault="00BB7D6A" w:rsidP="00D542E2">
      <w:pPr>
        <w:pStyle w:val="a2"/>
        <w:spacing w:after="0" w:line="240" w:lineRule="auto"/>
        <w:ind w:firstLine="709"/>
        <w:contextualSpacing/>
        <w:rPr>
          <w:rFonts w:ascii="Times New Roman" w:hAnsi="Times New Roman"/>
          <w:b/>
          <w:bCs/>
          <w:sz w:val="20"/>
          <w:szCs w:val="20"/>
        </w:rPr>
      </w:pPr>
      <w:r w:rsidRPr="000572AB">
        <w:rPr>
          <w:rFonts w:ascii="Times New Roman" w:hAnsi="Times New Roman"/>
          <w:b/>
          <w:bCs/>
          <w:sz w:val="20"/>
          <w:szCs w:val="20"/>
        </w:rPr>
        <w:t>18</w:t>
      </w:r>
      <w:r w:rsidR="009F5579" w:rsidRPr="000572AB">
        <w:rPr>
          <w:rFonts w:ascii="Times New Roman" w:hAnsi="Times New Roman"/>
          <w:b/>
          <w:bCs/>
          <w:sz w:val="20"/>
          <w:szCs w:val="20"/>
        </w:rPr>
        <w:t>.</w:t>
      </w:r>
      <w:r w:rsidRPr="000572AB">
        <w:rPr>
          <w:rFonts w:ascii="Times New Roman" w:hAnsi="Times New Roman"/>
          <w:b/>
          <w:bCs/>
          <w:sz w:val="20"/>
          <w:szCs w:val="20"/>
        </w:rPr>
        <w:t xml:space="preserve">2. </w:t>
      </w:r>
      <w:r w:rsidR="009F5579" w:rsidRPr="000572AB">
        <w:rPr>
          <w:rFonts w:ascii="Times New Roman" w:hAnsi="Times New Roman"/>
          <w:b/>
          <w:bCs/>
          <w:sz w:val="20"/>
          <w:szCs w:val="20"/>
        </w:rPr>
        <w:t xml:space="preserve"> Основні засоби</w:t>
      </w:r>
      <w:r w:rsidR="0018557E" w:rsidRPr="000572AB">
        <w:rPr>
          <w:rFonts w:ascii="Times New Roman" w:hAnsi="Times New Roman"/>
          <w:b/>
          <w:bCs/>
          <w:sz w:val="20"/>
          <w:szCs w:val="20"/>
        </w:rPr>
        <w:t>.</w:t>
      </w:r>
    </w:p>
    <w:p w:rsidR="00752F30" w:rsidRPr="000572AB" w:rsidRDefault="00FE4FD0" w:rsidP="00D542E2">
      <w:pPr>
        <w:pStyle w:val="a2"/>
        <w:spacing w:after="0" w:line="240" w:lineRule="auto"/>
        <w:ind w:firstLine="709"/>
        <w:jc w:val="both"/>
        <w:rPr>
          <w:rFonts w:ascii="Times New Roman" w:hAnsi="Times New Roman"/>
          <w:sz w:val="20"/>
          <w:szCs w:val="20"/>
          <w:lang w:val="ru-RU"/>
        </w:rPr>
      </w:pPr>
      <w:r w:rsidRPr="000572AB">
        <w:rPr>
          <w:rFonts w:ascii="Times New Roman" w:hAnsi="Times New Roman"/>
          <w:sz w:val="20"/>
          <w:szCs w:val="20"/>
        </w:rPr>
        <w:t>Станом на 31.12.201</w:t>
      </w:r>
      <w:r w:rsidR="00383D01" w:rsidRPr="000572AB">
        <w:rPr>
          <w:rFonts w:ascii="Times New Roman" w:hAnsi="Times New Roman"/>
          <w:sz w:val="20"/>
          <w:szCs w:val="20"/>
        </w:rPr>
        <w:t>7</w:t>
      </w:r>
      <w:r w:rsidRPr="000572AB">
        <w:rPr>
          <w:rFonts w:ascii="Times New Roman" w:hAnsi="Times New Roman"/>
          <w:sz w:val="20"/>
          <w:szCs w:val="20"/>
        </w:rPr>
        <w:t xml:space="preserve"> року </w:t>
      </w:r>
      <w:r w:rsidR="00961B0B" w:rsidRPr="000572AB">
        <w:rPr>
          <w:rFonts w:ascii="Times New Roman" w:hAnsi="Times New Roman"/>
          <w:sz w:val="20"/>
          <w:szCs w:val="20"/>
        </w:rPr>
        <w:t xml:space="preserve"> в обліку Товариства відображені </w:t>
      </w:r>
      <w:r w:rsidRPr="000572AB">
        <w:rPr>
          <w:rFonts w:ascii="Times New Roman" w:hAnsi="Times New Roman"/>
          <w:sz w:val="20"/>
          <w:szCs w:val="20"/>
        </w:rPr>
        <w:t>основні засоби</w:t>
      </w:r>
      <w:r w:rsidR="00961B0B" w:rsidRPr="000572AB">
        <w:rPr>
          <w:rFonts w:ascii="Times New Roman" w:hAnsi="Times New Roman"/>
          <w:sz w:val="20"/>
          <w:szCs w:val="20"/>
        </w:rPr>
        <w:t>,</w:t>
      </w:r>
      <w:r w:rsidRPr="000572AB">
        <w:rPr>
          <w:rFonts w:ascii="Times New Roman" w:hAnsi="Times New Roman"/>
          <w:sz w:val="20"/>
          <w:szCs w:val="20"/>
        </w:rPr>
        <w:t xml:space="preserve"> </w:t>
      </w:r>
      <w:r w:rsidR="00961B0B" w:rsidRPr="000572AB">
        <w:rPr>
          <w:rFonts w:ascii="Times New Roman" w:hAnsi="Times New Roman"/>
          <w:sz w:val="20"/>
          <w:szCs w:val="20"/>
        </w:rPr>
        <w:t xml:space="preserve"> первісна вартість яких склала – </w:t>
      </w:r>
      <w:r w:rsidR="00D6553A" w:rsidRPr="000572AB">
        <w:rPr>
          <w:rFonts w:ascii="Times New Roman" w:hAnsi="Times New Roman"/>
          <w:sz w:val="20"/>
          <w:szCs w:val="20"/>
          <w:lang w:val="ru-RU"/>
        </w:rPr>
        <w:t>8</w:t>
      </w:r>
      <w:r w:rsidR="00961B0B" w:rsidRPr="000572AB">
        <w:rPr>
          <w:rFonts w:ascii="Times New Roman" w:hAnsi="Times New Roman"/>
          <w:sz w:val="20"/>
          <w:szCs w:val="20"/>
        </w:rPr>
        <w:t xml:space="preserve"> тис. грн., амортизація накопичена в сумі </w:t>
      </w:r>
      <w:r w:rsidR="00D6553A" w:rsidRPr="000572AB">
        <w:rPr>
          <w:rFonts w:ascii="Times New Roman" w:hAnsi="Times New Roman"/>
          <w:sz w:val="20"/>
          <w:szCs w:val="20"/>
          <w:lang w:val="ru-RU"/>
        </w:rPr>
        <w:t>6</w:t>
      </w:r>
      <w:r w:rsidR="00961B0B" w:rsidRPr="000572AB">
        <w:rPr>
          <w:rFonts w:ascii="Times New Roman" w:hAnsi="Times New Roman"/>
          <w:sz w:val="20"/>
          <w:szCs w:val="20"/>
        </w:rPr>
        <w:t xml:space="preserve"> тис. грн., залишкова вартість складає – </w:t>
      </w:r>
      <w:r w:rsidR="008E213F" w:rsidRPr="000572AB">
        <w:rPr>
          <w:rFonts w:ascii="Times New Roman" w:hAnsi="Times New Roman"/>
          <w:sz w:val="20"/>
          <w:szCs w:val="20"/>
        </w:rPr>
        <w:t>2</w:t>
      </w:r>
      <w:r w:rsidR="00961B0B" w:rsidRPr="000572AB">
        <w:rPr>
          <w:rFonts w:ascii="Times New Roman" w:hAnsi="Times New Roman"/>
          <w:sz w:val="20"/>
          <w:szCs w:val="20"/>
        </w:rPr>
        <w:t xml:space="preserve">  тис. грн.</w:t>
      </w:r>
    </w:p>
    <w:p w:rsidR="00BB106C" w:rsidRPr="000572AB" w:rsidRDefault="00BB106C" w:rsidP="00D542E2">
      <w:pPr>
        <w:pStyle w:val="a2"/>
        <w:spacing w:after="0" w:line="240" w:lineRule="auto"/>
        <w:ind w:firstLine="709"/>
        <w:jc w:val="both"/>
        <w:rPr>
          <w:rFonts w:ascii="Times New Roman" w:hAnsi="Times New Roman"/>
          <w:sz w:val="20"/>
          <w:szCs w:val="20"/>
          <w:lang w:val="ru-RU"/>
        </w:rPr>
      </w:pPr>
    </w:p>
    <w:p w:rsidR="00752F30" w:rsidRPr="000572AB" w:rsidRDefault="008E213F" w:rsidP="00D542E2">
      <w:pPr>
        <w:pStyle w:val="a2"/>
        <w:spacing w:after="0" w:line="240" w:lineRule="auto"/>
        <w:ind w:firstLine="709"/>
        <w:jc w:val="both"/>
        <w:rPr>
          <w:rFonts w:ascii="Times New Roman" w:hAnsi="Times New Roman"/>
          <w:b/>
          <w:sz w:val="20"/>
          <w:szCs w:val="20"/>
        </w:rPr>
      </w:pPr>
      <w:r w:rsidRPr="000572AB">
        <w:rPr>
          <w:rFonts w:ascii="Times New Roman" w:hAnsi="Times New Roman"/>
          <w:b/>
          <w:sz w:val="20"/>
          <w:szCs w:val="20"/>
        </w:rPr>
        <w:t>18</w:t>
      </w:r>
      <w:r w:rsidR="00752F30" w:rsidRPr="000572AB">
        <w:rPr>
          <w:rFonts w:ascii="Times New Roman" w:hAnsi="Times New Roman"/>
          <w:b/>
          <w:sz w:val="20"/>
          <w:szCs w:val="20"/>
        </w:rPr>
        <w:t>.3. Інвестиційна нерухомість</w:t>
      </w:r>
      <w:r w:rsidR="0018557E" w:rsidRPr="000572AB">
        <w:rPr>
          <w:rFonts w:ascii="Times New Roman" w:hAnsi="Times New Roman"/>
          <w:b/>
          <w:sz w:val="20"/>
          <w:szCs w:val="20"/>
        </w:rPr>
        <w:t>.</w:t>
      </w:r>
    </w:p>
    <w:p w:rsidR="00DB32C2" w:rsidRPr="000572AB" w:rsidRDefault="00DB32C2" w:rsidP="00D542E2">
      <w:pPr>
        <w:pStyle w:val="a2"/>
        <w:spacing w:after="0" w:line="240" w:lineRule="auto"/>
        <w:ind w:firstLine="709"/>
        <w:jc w:val="both"/>
        <w:rPr>
          <w:rFonts w:ascii="Times New Roman" w:hAnsi="Times New Roman"/>
          <w:sz w:val="20"/>
          <w:szCs w:val="20"/>
        </w:rPr>
      </w:pPr>
      <w:bookmarkStart w:id="1" w:name="n20"/>
      <w:bookmarkEnd w:id="1"/>
      <w:r w:rsidRPr="000572AB">
        <w:rPr>
          <w:rFonts w:ascii="Times New Roman" w:hAnsi="Times New Roman"/>
          <w:sz w:val="20"/>
          <w:szCs w:val="20"/>
        </w:rPr>
        <w:t xml:space="preserve">Інвестиційна нерухомість - нерухомість, утримувана </w:t>
      </w:r>
      <w:r w:rsidR="00B853E9" w:rsidRPr="000572AB">
        <w:rPr>
          <w:rFonts w:ascii="Times New Roman" w:hAnsi="Times New Roman"/>
          <w:sz w:val="20"/>
          <w:szCs w:val="20"/>
        </w:rPr>
        <w:t>Товариством</w:t>
      </w:r>
      <w:r w:rsidRPr="000572AB">
        <w:rPr>
          <w:rFonts w:ascii="Times New Roman" w:hAnsi="Times New Roman"/>
          <w:sz w:val="20"/>
          <w:szCs w:val="20"/>
        </w:rPr>
        <w:t xml:space="preserve"> з метою отримання орендних платежів або збільшення вартості капіталу чи для досягнення обох цілей, а не для:</w:t>
      </w:r>
    </w:p>
    <w:p w:rsidR="00DB32C2" w:rsidRPr="000572AB" w:rsidRDefault="00DB32C2" w:rsidP="00D542E2">
      <w:pPr>
        <w:pStyle w:val="a2"/>
        <w:spacing w:after="0" w:line="240" w:lineRule="auto"/>
        <w:ind w:firstLine="709"/>
        <w:jc w:val="both"/>
        <w:rPr>
          <w:rFonts w:ascii="Times New Roman" w:hAnsi="Times New Roman"/>
          <w:sz w:val="20"/>
          <w:szCs w:val="20"/>
        </w:rPr>
      </w:pPr>
      <w:bookmarkStart w:id="2" w:name="n21"/>
      <w:bookmarkEnd w:id="2"/>
      <w:r w:rsidRPr="000572AB">
        <w:rPr>
          <w:rFonts w:ascii="Times New Roman" w:hAnsi="Times New Roman"/>
          <w:sz w:val="20"/>
          <w:szCs w:val="20"/>
        </w:rPr>
        <w:t>а) використання у виробництві чи при постачанні товарів, при наданні послуг чи для адміністративних цілей, або</w:t>
      </w:r>
    </w:p>
    <w:p w:rsidR="00DB32C2" w:rsidRPr="000572AB" w:rsidRDefault="00DB32C2" w:rsidP="00D542E2">
      <w:pPr>
        <w:pStyle w:val="a2"/>
        <w:spacing w:after="0" w:line="240" w:lineRule="auto"/>
        <w:ind w:firstLine="709"/>
        <w:jc w:val="both"/>
        <w:rPr>
          <w:rFonts w:ascii="Times New Roman" w:hAnsi="Times New Roman"/>
          <w:sz w:val="20"/>
          <w:szCs w:val="20"/>
        </w:rPr>
      </w:pPr>
      <w:bookmarkStart w:id="3" w:name="n22"/>
      <w:bookmarkEnd w:id="3"/>
      <w:r w:rsidRPr="000572AB">
        <w:rPr>
          <w:rFonts w:ascii="Times New Roman" w:hAnsi="Times New Roman"/>
          <w:sz w:val="20"/>
          <w:szCs w:val="20"/>
        </w:rPr>
        <w:t>б) продажу в звичайному ході діяльності.</w:t>
      </w:r>
    </w:p>
    <w:p w:rsidR="00DB32C2" w:rsidRPr="000572AB" w:rsidRDefault="00021764" w:rsidP="00D542E2">
      <w:pPr>
        <w:spacing w:after="0" w:line="240" w:lineRule="auto"/>
        <w:ind w:firstLine="709"/>
        <w:jc w:val="both"/>
        <w:rPr>
          <w:rFonts w:ascii="Times New Roman" w:hAnsi="Times New Roman"/>
          <w:sz w:val="20"/>
          <w:szCs w:val="20"/>
        </w:rPr>
      </w:pPr>
      <w:r w:rsidRPr="000572AB">
        <w:rPr>
          <w:rFonts w:ascii="Times New Roman" w:hAnsi="Times New Roman"/>
          <w:sz w:val="20"/>
          <w:szCs w:val="20"/>
        </w:rPr>
        <w:t xml:space="preserve">Інвестиційна нерухомість </w:t>
      </w:r>
      <w:r w:rsidR="00DB32C2" w:rsidRPr="000572AB">
        <w:rPr>
          <w:rFonts w:ascii="Times New Roman" w:hAnsi="Times New Roman"/>
          <w:sz w:val="20"/>
          <w:szCs w:val="20"/>
        </w:rPr>
        <w:t>оціню</w:t>
      </w:r>
      <w:r w:rsidRPr="000572AB">
        <w:rPr>
          <w:rFonts w:ascii="Times New Roman" w:hAnsi="Times New Roman"/>
          <w:sz w:val="20"/>
          <w:szCs w:val="20"/>
        </w:rPr>
        <w:t xml:space="preserve">ється первісно за </w:t>
      </w:r>
      <w:r w:rsidR="00DB32C2" w:rsidRPr="000572AB">
        <w:rPr>
          <w:rFonts w:ascii="Times New Roman" w:hAnsi="Times New Roman"/>
          <w:sz w:val="20"/>
          <w:szCs w:val="20"/>
        </w:rPr>
        <w:t>собівартістю. Витрати на</w:t>
      </w:r>
      <w:r w:rsidRPr="000572AB">
        <w:rPr>
          <w:rFonts w:ascii="Times New Roman" w:hAnsi="Times New Roman"/>
          <w:sz w:val="20"/>
          <w:szCs w:val="20"/>
        </w:rPr>
        <w:t xml:space="preserve"> операцію включаються</w:t>
      </w:r>
      <w:r w:rsidR="00DB32C2" w:rsidRPr="000572AB">
        <w:rPr>
          <w:rFonts w:ascii="Times New Roman" w:hAnsi="Times New Roman"/>
          <w:sz w:val="20"/>
          <w:szCs w:val="20"/>
        </w:rPr>
        <w:t xml:space="preserve"> до первісної оцінки.</w:t>
      </w:r>
    </w:p>
    <w:p w:rsidR="00DB32C2" w:rsidRPr="000572AB" w:rsidRDefault="00DB32C2" w:rsidP="00D542E2">
      <w:pPr>
        <w:spacing w:after="0" w:line="240" w:lineRule="auto"/>
        <w:ind w:firstLine="709"/>
        <w:jc w:val="both"/>
        <w:rPr>
          <w:rFonts w:ascii="Times New Roman" w:hAnsi="Times New Roman"/>
          <w:sz w:val="20"/>
          <w:szCs w:val="20"/>
        </w:rPr>
      </w:pPr>
      <w:bookmarkStart w:id="4" w:name="n55"/>
      <w:bookmarkEnd w:id="4"/>
      <w:r w:rsidRPr="000572AB">
        <w:rPr>
          <w:rFonts w:ascii="Times New Roman" w:hAnsi="Times New Roman"/>
          <w:sz w:val="20"/>
          <w:szCs w:val="20"/>
        </w:rPr>
        <w:t>Собівартість придбаної інвестиційної нерухомості включає ціну її придбання та будь-які видатки, які безпосередньо віднесені до придбання.</w:t>
      </w:r>
    </w:p>
    <w:p w:rsidR="00752F30" w:rsidRPr="000572AB" w:rsidRDefault="00752F30" w:rsidP="00D542E2">
      <w:pPr>
        <w:pStyle w:val="a7"/>
        <w:spacing w:before="0" w:beforeAutospacing="0" w:after="0" w:afterAutospacing="0"/>
        <w:ind w:firstLine="709"/>
        <w:contextualSpacing/>
        <w:jc w:val="both"/>
        <w:rPr>
          <w:sz w:val="20"/>
          <w:szCs w:val="20"/>
        </w:rPr>
      </w:pPr>
      <w:bookmarkStart w:id="5" w:name="n71"/>
      <w:bookmarkStart w:id="6" w:name="_GoBack"/>
      <w:bookmarkEnd w:id="5"/>
      <w:bookmarkEnd w:id="6"/>
      <w:r w:rsidRPr="000572AB">
        <w:rPr>
          <w:sz w:val="20"/>
          <w:szCs w:val="20"/>
        </w:rPr>
        <w:t>Інвестиційна нерухомість станом на 31.12.201</w:t>
      </w:r>
      <w:r w:rsidR="00B81E2A" w:rsidRPr="000572AB">
        <w:rPr>
          <w:sz w:val="20"/>
          <w:szCs w:val="20"/>
        </w:rPr>
        <w:t>7</w:t>
      </w:r>
      <w:r w:rsidRPr="000572AB">
        <w:rPr>
          <w:sz w:val="20"/>
          <w:szCs w:val="20"/>
        </w:rPr>
        <w:t xml:space="preserve"> р. </w:t>
      </w:r>
      <w:r w:rsidR="00C65543" w:rsidRPr="000572AB">
        <w:rPr>
          <w:sz w:val="20"/>
          <w:szCs w:val="20"/>
        </w:rPr>
        <w:t xml:space="preserve"> - </w:t>
      </w:r>
      <w:r w:rsidR="00D35A53" w:rsidRPr="000572AB">
        <w:rPr>
          <w:sz w:val="20"/>
          <w:szCs w:val="20"/>
        </w:rPr>
        <w:t>відсутня.</w:t>
      </w:r>
    </w:p>
    <w:p w:rsidR="008548F4" w:rsidRPr="000572AB" w:rsidRDefault="008548F4" w:rsidP="00D542E2">
      <w:pPr>
        <w:spacing w:after="0" w:line="240" w:lineRule="auto"/>
        <w:ind w:firstLine="709"/>
        <w:contextualSpacing/>
        <w:jc w:val="both"/>
        <w:rPr>
          <w:rFonts w:ascii="Times New Roman" w:hAnsi="Times New Roman"/>
          <w:i/>
          <w:sz w:val="20"/>
          <w:szCs w:val="20"/>
        </w:rPr>
      </w:pPr>
    </w:p>
    <w:p w:rsidR="00637BA4" w:rsidRPr="000572AB" w:rsidRDefault="008E213F" w:rsidP="00D542E2">
      <w:pPr>
        <w:spacing w:after="0" w:line="240" w:lineRule="auto"/>
        <w:ind w:firstLine="709"/>
        <w:contextualSpacing/>
        <w:jc w:val="both"/>
        <w:rPr>
          <w:rFonts w:ascii="Times New Roman" w:hAnsi="Times New Roman"/>
          <w:b/>
          <w:sz w:val="20"/>
          <w:szCs w:val="20"/>
        </w:rPr>
      </w:pPr>
      <w:r w:rsidRPr="000572AB">
        <w:rPr>
          <w:rFonts w:ascii="Times New Roman" w:hAnsi="Times New Roman"/>
          <w:b/>
          <w:sz w:val="20"/>
          <w:szCs w:val="20"/>
        </w:rPr>
        <w:t>18.4</w:t>
      </w:r>
      <w:r w:rsidR="00637BA4" w:rsidRPr="000572AB">
        <w:rPr>
          <w:rFonts w:ascii="Times New Roman" w:hAnsi="Times New Roman"/>
          <w:b/>
          <w:sz w:val="20"/>
          <w:szCs w:val="20"/>
        </w:rPr>
        <w:t>.  Дебіторська заборгованість</w:t>
      </w:r>
      <w:r w:rsidR="00F86818" w:rsidRPr="000572AB">
        <w:rPr>
          <w:rFonts w:ascii="Times New Roman" w:hAnsi="Times New Roman"/>
          <w:b/>
          <w:sz w:val="20"/>
          <w:szCs w:val="20"/>
        </w:rPr>
        <w:t xml:space="preserve"> та поточні фінансові інвестиції.</w:t>
      </w:r>
    </w:p>
    <w:p w:rsidR="00637BA4" w:rsidRPr="000572AB" w:rsidRDefault="00637BA4" w:rsidP="00D542E2">
      <w:pPr>
        <w:pStyle w:val="a7"/>
        <w:spacing w:before="0" w:beforeAutospacing="0" w:after="0" w:afterAutospacing="0"/>
        <w:ind w:firstLine="709"/>
        <w:contextualSpacing/>
        <w:jc w:val="both"/>
        <w:rPr>
          <w:sz w:val="20"/>
          <w:szCs w:val="20"/>
        </w:rPr>
      </w:pPr>
      <w:r w:rsidRPr="000572AB">
        <w:rPr>
          <w:sz w:val="20"/>
          <w:szCs w:val="20"/>
        </w:rPr>
        <w:t>Дебіторська заборгованість визнається активом, якщо існує ймовірність отримання Товариством майбутніх економічних вигод та може бути достовірно визначена її сума.</w:t>
      </w:r>
    </w:p>
    <w:p w:rsidR="00AD3CD6" w:rsidRPr="000572AB" w:rsidRDefault="0084089D" w:rsidP="00D542E2">
      <w:pPr>
        <w:pStyle w:val="a7"/>
        <w:spacing w:before="0" w:beforeAutospacing="0" w:after="0" w:afterAutospacing="0"/>
        <w:ind w:firstLine="709"/>
        <w:contextualSpacing/>
        <w:jc w:val="both"/>
        <w:rPr>
          <w:sz w:val="20"/>
          <w:szCs w:val="20"/>
        </w:rPr>
      </w:pPr>
      <w:r w:rsidRPr="000572AB">
        <w:rPr>
          <w:sz w:val="20"/>
          <w:szCs w:val="20"/>
        </w:rPr>
        <w:t xml:space="preserve">Дебіторська </w:t>
      </w:r>
      <w:r w:rsidR="00637BA4" w:rsidRPr="000572AB">
        <w:rPr>
          <w:sz w:val="20"/>
          <w:szCs w:val="20"/>
        </w:rPr>
        <w:t>заборгованість</w:t>
      </w:r>
      <w:r w:rsidRPr="000572AB">
        <w:rPr>
          <w:sz w:val="20"/>
          <w:szCs w:val="20"/>
        </w:rPr>
        <w:t xml:space="preserve"> </w:t>
      </w:r>
      <w:r w:rsidR="00637BA4" w:rsidRPr="000572AB">
        <w:rPr>
          <w:sz w:val="20"/>
          <w:szCs w:val="20"/>
        </w:rPr>
        <w:t xml:space="preserve">складається з </w:t>
      </w:r>
    </w:p>
    <w:p w:rsidR="00AD3CD6" w:rsidRPr="000572AB" w:rsidRDefault="00637BA4" w:rsidP="00D542E2">
      <w:pPr>
        <w:pStyle w:val="a7"/>
        <w:numPr>
          <w:ilvl w:val="0"/>
          <w:numId w:val="36"/>
        </w:numPr>
        <w:spacing w:before="0" w:beforeAutospacing="0" w:after="0" w:afterAutospacing="0"/>
        <w:contextualSpacing/>
        <w:jc w:val="both"/>
        <w:rPr>
          <w:sz w:val="20"/>
          <w:szCs w:val="20"/>
        </w:rPr>
      </w:pPr>
      <w:r w:rsidRPr="000572AB">
        <w:rPr>
          <w:sz w:val="20"/>
          <w:szCs w:val="20"/>
        </w:rPr>
        <w:t>дебіторської заборгованості за розрахунками з нарахованих доходів</w:t>
      </w:r>
      <w:r w:rsidR="00AD3CD6" w:rsidRPr="000572AB">
        <w:rPr>
          <w:sz w:val="20"/>
          <w:szCs w:val="20"/>
        </w:rPr>
        <w:t>,</w:t>
      </w:r>
    </w:p>
    <w:p w:rsidR="00637BA4" w:rsidRPr="000572AB" w:rsidRDefault="00637BA4" w:rsidP="00D542E2">
      <w:pPr>
        <w:pStyle w:val="a7"/>
        <w:numPr>
          <w:ilvl w:val="0"/>
          <w:numId w:val="36"/>
        </w:numPr>
        <w:spacing w:before="0" w:beforeAutospacing="0" w:after="0" w:afterAutospacing="0"/>
        <w:contextualSpacing/>
        <w:jc w:val="both"/>
        <w:rPr>
          <w:sz w:val="20"/>
          <w:szCs w:val="20"/>
        </w:rPr>
      </w:pPr>
      <w:r w:rsidRPr="000572AB">
        <w:rPr>
          <w:sz w:val="20"/>
          <w:szCs w:val="20"/>
        </w:rPr>
        <w:t>іншої поточно</w:t>
      </w:r>
      <w:r w:rsidR="00AD3CD6" w:rsidRPr="000572AB">
        <w:rPr>
          <w:sz w:val="20"/>
          <w:szCs w:val="20"/>
        </w:rPr>
        <w:t>ї дебіторської заборгованості,</w:t>
      </w:r>
    </w:p>
    <w:p w:rsidR="00AD3CD6" w:rsidRPr="000572AB" w:rsidRDefault="00AD3CD6" w:rsidP="00F86818">
      <w:pPr>
        <w:pStyle w:val="a7"/>
        <w:spacing w:before="0" w:beforeAutospacing="0" w:after="0" w:afterAutospacing="0"/>
        <w:contextualSpacing/>
        <w:jc w:val="both"/>
        <w:rPr>
          <w:sz w:val="20"/>
          <w:szCs w:val="20"/>
        </w:rPr>
      </w:pPr>
    </w:p>
    <w:p w:rsidR="00BA5C5E" w:rsidRPr="000572AB" w:rsidRDefault="00583FDD" w:rsidP="00D542E2">
      <w:pPr>
        <w:pStyle w:val="a7"/>
        <w:spacing w:before="0" w:beforeAutospacing="0" w:after="0" w:afterAutospacing="0"/>
        <w:ind w:firstLine="709"/>
        <w:contextualSpacing/>
        <w:jc w:val="both"/>
        <w:rPr>
          <w:sz w:val="20"/>
          <w:szCs w:val="20"/>
          <w:lang w:val="ru-RU"/>
        </w:rPr>
      </w:pPr>
      <w:r w:rsidRPr="000572AB">
        <w:rPr>
          <w:i/>
          <w:sz w:val="20"/>
          <w:szCs w:val="20"/>
          <w:u w:val="single"/>
        </w:rPr>
        <w:t>Дебіторська заборгованість за розрахунками з н</w:t>
      </w:r>
      <w:r w:rsidR="00D12694" w:rsidRPr="000572AB">
        <w:rPr>
          <w:i/>
          <w:sz w:val="20"/>
          <w:szCs w:val="20"/>
          <w:u w:val="single"/>
        </w:rPr>
        <w:t>арахованих доході</w:t>
      </w:r>
      <w:r w:rsidR="00D12694" w:rsidRPr="000572AB">
        <w:rPr>
          <w:sz w:val="20"/>
          <w:szCs w:val="20"/>
        </w:rPr>
        <w:t>в на 31.12.201</w:t>
      </w:r>
      <w:r w:rsidR="003F0DF7" w:rsidRPr="000572AB">
        <w:rPr>
          <w:sz w:val="20"/>
          <w:szCs w:val="20"/>
        </w:rPr>
        <w:t>7</w:t>
      </w:r>
      <w:r w:rsidRPr="000572AB">
        <w:rPr>
          <w:sz w:val="20"/>
          <w:szCs w:val="20"/>
        </w:rPr>
        <w:t xml:space="preserve"> року становить </w:t>
      </w:r>
      <w:r w:rsidR="00BB106C" w:rsidRPr="000572AB">
        <w:rPr>
          <w:sz w:val="20"/>
          <w:szCs w:val="20"/>
          <w:lang w:val="ru-RU"/>
        </w:rPr>
        <w:t>11 232</w:t>
      </w:r>
      <w:r w:rsidR="008E213F" w:rsidRPr="000572AB">
        <w:rPr>
          <w:sz w:val="20"/>
          <w:szCs w:val="20"/>
        </w:rPr>
        <w:t xml:space="preserve"> </w:t>
      </w:r>
      <w:r w:rsidRPr="000572AB">
        <w:rPr>
          <w:sz w:val="20"/>
          <w:szCs w:val="20"/>
        </w:rPr>
        <w:t>тис.</w:t>
      </w:r>
      <w:r w:rsidR="00D12694" w:rsidRPr="000572AB">
        <w:rPr>
          <w:sz w:val="20"/>
          <w:szCs w:val="20"/>
        </w:rPr>
        <w:t xml:space="preserve"> </w:t>
      </w:r>
      <w:r w:rsidRPr="000572AB">
        <w:rPr>
          <w:sz w:val="20"/>
          <w:szCs w:val="20"/>
        </w:rPr>
        <w:t xml:space="preserve">грн., та складається з заборгованості </w:t>
      </w:r>
      <w:r w:rsidR="00D829BC" w:rsidRPr="000572AB">
        <w:rPr>
          <w:sz w:val="20"/>
          <w:szCs w:val="20"/>
        </w:rPr>
        <w:t xml:space="preserve">по </w:t>
      </w:r>
      <w:bookmarkStart w:id="7" w:name="_Hlk505865684"/>
      <w:r w:rsidR="008E213F" w:rsidRPr="000572AB">
        <w:rPr>
          <w:sz w:val="20"/>
          <w:szCs w:val="20"/>
        </w:rPr>
        <w:t>нарахованим та не сплаченим на дату балансу відсоткам по позикам</w:t>
      </w:r>
      <w:r w:rsidR="009F2008" w:rsidRPr="000572AB">
        <w:rPr>
          <w:sz w:val="20"/>
          <w:szCs w:val="20"/>
          <w:lang w:val="ru-RU"/>
        </w:rPr>
        <w:t>.</w:t>
      </w:r>
    </w:p>
    <w:p w:rsidR="00BA5C5E" w:rsidRPr="000572AB" w:rsidRDefault="00BA5C5E" w:rsidP="00D542E2">
      <w:pPr>
        <w:pStyle w:val="a7"/>
        <w:spacing w:before="0" w:beforeAutospacing="0" w:after="0" w:afterAutospacing="0"/>
        <w:ind w:firstLine="709"/>
        <w:contextualSpacing/>
        <w:jc w:val="both"/>
        <w:rPr>
          <w:sz w:val="20"/>
          <w:szCs w:val="20"/>
        </w:rPr>
      </w:pPr>
      <w:r w:rsidRPr="000572AB">
        <w:rPr>
          <w:sz w:val="20"/>
          <w:szCs w:val="20"/>
        </w:rPr>
        <w:t>Дебіторська заборгованість з нарахованих доходів утримується до погашення та відображена в балансі за амортизованою собівартістю.</w:t>
      </w:r>
    </w:p>
    <w:bookmarkEnd w:id="7"/>
    <w:p w:rsidR="00E67C8A" w:rsidRPr="000572AB" w:rsidRDefault="00637BA4" w:rsidP="00D542E2">
      <w:pPr>
        <w:pStyle w:val="a7"/>
        <w:spacing w:before="0" w:beforeAutospacing="0" w:after="0" w:afterAutospacing="0"/>
        <w:ind w:firstLine="709"/>
        <w:contextualSpacing/>
        <w:jc w:val="both"/>
        <w:rPr>
          <w:sz w:val="20"/>
          <w:szCs w:val="20"/>
        </w:rPr>
      </w:pPr>
      <w:r w:rsidRPr="000572AB">
        <w:rPr>
          <w:i/>
          <w:sz w:val="20"/>
          <w:szCs w:val="20"/>
          <w:u w:val="single"/>
        </w:rPr>
        <w:t>Інша поточна дебіторська заб</w:t>
      </w:r>
      <w:r w:rsidR="0053252C" w:rsidRPr="000572AB">
        <w:rPr>
          <w:i/>
          <w:sz w:val="20"/>
          <w:szCs w:val="20"/>
          <w:u w:val="single"/>
        </w:rPr>
        <w:t>оргованість</w:t>
      </w:r>
      <w:r w:rsidR="0053252C" w:rsidRPr="000572AB">
        <w:rPr>
          <w:sz w:val="20"/>
          <w:szCs w:val="20"/>
        </w:rPr>
        <w:t xml:space="preserve"> станом на 31.12.201</w:t>
      </w:r>
      <w:r w:rsidR="00B435E8" w:rsidRPr="000572AB">
        <w:rPr>
          <w:sz w:val="20"/>
          <w:szCs w:val="20"/>
        </w:rPr>
        <w:t>7</w:t>
      </w:r>
      <w:r w:rsidRPr="000572AB">
        <w:rPr>
          <w:sz w:val="20"/>
          <w:szCs w:val="20"/>
        </w:rPr>
        <w:t xml:space="preserve"> р. становить  </w:t>
      </w:r>
      <w:r w:rsidR="00751898" w:rsidRPr="000572AB">
        <w:rPr>
          <w:sz w:val="20"/>
          <w:szCs w:val="20"/>
        </w:rPr>
        <w:br/>
      </w:r>
      <w:r w:rsidR="00E67C8A" w:rsidRPr="000572AB">
        <w:rPr>
          <w:sz w:val="20"/>
          <w:szCs w:val="20"/>
        </w:rPr>
        <w:t>248 262</w:t>
      </w:r>
      <w:r w:rsidR="008E213F" w:rsidRPr="000572AB">
        <w:rPr>
          <w:sz w:val="20"/>
          <w:szCs w:val="20"/>
        </w:rPr>
        <w:t xml:space="preserve"> тис. грн., </w:t>
      </w:r>
      <w:r w:rsidR="00D829BC" w:rsidRPr="000572AB">
        <w:rPr>
          <w:sz w:val="20"/>
          <w:szCs w:val="20"/>
        </w:rPr>
        <w:t xml:space="preserve">яка </w:t>
      </w:r>
      <w:r w:rsidRPr="000572AB">
        <w:rPr>
          <w:sz w:val="20"/>
          <w:szCs w:val="20"/>
        </w:rPr>
        <w:t xml:space="preserve"> складається з заборгованості</w:t>
      </w:r>
      <w:r w:rsidR="00E67C8A" w:rsidRPr="000572AB">
        <w:rPr>
          <w:sz w:val="20"/>
          <w:szCs w:val="20"/>
        </w:rPr>
        <w:t xml:space="preserve"> </w:t>
      </w:r>
    </w:p>
    <w:p w:rsidR="00A53C31" w:rsidRPr="000572AB" w:rsidRDefault="00E67C8A" w:rsidP="00D542E2">
      <w:pPr>
        <w:pStyle w:val="a7"/>
        <w:numPr>
          <w:ilvl w:val="0"/>
          <w:numId w:val="28"/>
        </w:numPr>
        <w:spacing w:before="0" w:beforeAutospacing="0" w:after="0" w:afterAutospacing="0"/>
        <w:contextualSpacing/>
        <w:jc w:val="both"/>
        <w:rPr>
          <w:sz w:val="20"/>
          <w:szCs w:val="20"/>
        </w:rPr>
      </w:pPr>
      <w:r w:rsidRPr="000572AB">
        <w:rPr>
          <w:sz w:val="20"/>
          <w:szCs w:val="20"/>
        </w:rPr>
        <w:t>за позиками та фінансовими кредитами</w:t>
      </w:r>
      <w:r w:rsidR="00021262" w:rsidRPr="000572AB">
        <w:rPr>
          <w:sz w:val="20"/>
          <w:szCs w:val="20"/>
        </w:rPr>
        <w:t xml:space="preserve"> </w:t>
      </w:r>
      <w:r w:rsidR="00EC05FB" w:rsidRPr="000572AB">
        <w:rPr>
          <w:sz w:val="20"/>
          <w:szCs w:val="20"/>
        </w:rPr>
        <w:t>20 716</w:t>
      </w:r>
      <w:r w:rsidR="00021262" w:rsidRPr="000572AB">
        <w:rPr>
          <w:sz w:val="20"/>
          <w:szCs w:val="20"/>
        </w:rPr>
        <w:t xml:space="preserve"> тис грн</w:t>
      </w:r>
      <w:r w:rsidR="00A53C31" w:rsidRPr="000572AB">
        <w:rPr>
          <w:sz w:val="20"/>
          <w:szCs w:val="20"/>
        </w:rPr>
        <w:t>;</w:t>
      </w:r>
    </w:p>
    <w:p w:rsidR="00021262" w:rsidRPr="000572AB" w:rsidRDefault="00021262" w:rsidP="00D542E2">
      <w:pPr>
        <w:pStyle w:val="a7"/>
        <w:numPr>
          <w:ilvl w:val="0"/>
          <w:numId w:val="28"/>
        </w:numPr>
        <w:spacing w:before="0" w:beforeAutospacing="0" w:after="0" w:afterAutospacing="0"/>
        <w:contextualSpacing/>
        <w:jc w:val="both"/>
        <w:rPr>
          <w:sz w:val="20"/>
          <w:szCs w:val="20"/>
        </w:rPr>
      </w:pPr>
      <w:r w:rsidRPr="000572AB">
        <w:rPr>
          <w:sz w:val="20"/>
          <w:szCs w:val="20"/>
        </w:rPr>
        <w:t xml:space="preserve">за операціями з цінними паперами 205 734 тис грн </w:t>
      </w:r>
    </w:p>
    <w:p w:rsidR="00A53C31" w:rsidRPr="000572AB" w:rsidRDefault="00E67C8A" w:rsidP="00D542E2">
      <w:pPr>
        <w:pStyle w:val="a7"/>
        <w:numPr>
          <w:ilvl w:val="0"/>
          <w:numId w:val="28"/>
        </w:numPr>
        <w:spacing w:before="0" w:beforeAutospacing="0" w:after="0" w:afterAutospacing="0"/>
        <w:contextualSpacing/>
        <w:jc w:val="both"/>
        <w:rPr>
          <w:sz w:val="20"/>
          <w:szCs w:val="20"/>
        </w:rPr>
      </w:pPr>
      <w:r w:rsidRPr="000572AB">
        <w:rPr>
          <w:sz w:val="20"/>
          <w:szCs w:val="20"/>
        </w:rPr>
        <w:t>за відступленням правами вимоги</w:t>
      </w:r>
      <w:r w:rsidR="00D6553A" w:rsidRPr="000572AB">
        <w:rPr>
          <w:sz w:val="20"/>
          <w:szCs w:val="20"/>
          <w:lang w:val="ru-RU"/>
        </w:rPr>
        <w:t xml:space="preserve"> 21 </w:t>
      </w:r>
      <w:r w:rsidR="00EC05FB" w:rsidRPr="000572AB">
        <w:rPr>
          <w:sz w:val="20"/>
          <w:szCs w:val="20"/>
          <w:lang w:val="ru-RU"/>
        </w:rPr>
        <w:t>807</w:t>
      </w:r>
      <w:r w:rsidR="00D6553A" w:rsidRPr="000572AB">
        <w:rPr>
          <w:sz w:val="20"/>
          <w:szCs w:val="20"/>
          <w:lang w:val="ru-RU"/>
        </w:rPr>
        <w:t xml:space="preserve"> </w:t>
      </w:r>
      <w:r w:rsidR="00D6553A" w:rsidRPr="000572AB">
        <w:rPr>
          <w:sz w:val="20"/>
          <w:szCs w:val="20"/>
        </w:rPr>
        <w:t>тис грн</w:t>
      </w:r>
      <w:r w:rsidR="00021262" w:rsidRPr="000572AB">
        <w:rPr>
          <w:sz w:val="20"/>
          <w:szCs w:val="20"/>
        </w:rPr>
        <w:t>.</w:t>
      </w:r>
    </w:p>
    <w:p w:rsidR="00EC05FB" w:rsidRPr="000572AB" w:rsidRDefault="008224FA" w:rsidP="00D542E2">
      <w:pPr>
        <w:pStyle w:val="a7"/>
        <w:numPr>
          <w:ilvl w:val="0"/>
          <w:numId w:val="28"/>
        </w:numPr>
        <w:spacing w:before="0" w:beforeAutospacing="0" w:after="0" w:afterAutospacing="0"/>
        <w:contextualSpacing/>
        <w:jc w:val="both"/>
        <w:rPr>
          <w:sz w:val="20"/>
          <w:szCs w:val="20"/>
        </w:rPr>
      </w:pPr>
      <w:r w:rsidRPr="000572AB">
        <w:rPr>
          <w:sz w:val="20"/>
          <w:szCs w:val="20"/>
        </w:rPr>
        <w:t>за іншими операціями</w:t>
      </w:r>
      <w:r w:rsidR="00EC05FB" w:rsidRPr="000572AB">
        <w:rPr>
          <w:sz w:val="20"/>
          <w:szCs w:val="20"/>
        </w:rPr>
        <w:t xml:space="preserve">  5 тис </w:t>
      </w:r>
      <w:r w:rsidR="007E1EB9" w:rsidRPr="000572AB">
        <w:rPr>
          <w:sz w:val="20"/>
          <w:szCs w:val="20"/>
        </w:rPr>
        <w:t>грн..</w:t>
      </w:r>
    </w:p>
    <w:p w:rsidR="00E67C8A" w:rsidRPr="000572AB" w:rsidRDefault="00E67C8A" w:rsidP="00D542E2">
      <w:pPr>
        <w:pStyle w:val="a7"/>
        <w:spacing w:before="0" w:beforeAutospacing="0" w:after="0" w:afterAutospacing="0"/>
        <w:contextualSpacing/>
        <w:jc w:val="both"/>
        <w:rPr>
          <w:sz w:val="20"/>
          <w:szCs w:val="20"/>
          <w:lang w:val="ru-RU"/>
        </w:rPr>
      </w:pPr>
      <w:r w:rsidRPr="000572AB">
        <w:rPr>
          <w:sz w:val="20"/>
          <w:szCs w:val="20"/>
        </w:rPr>
        <w:t>Дебіторська заборгованість відображена</w:t>
      </w:r>
      <w:r w:rsidR="00D6553A" w:rsidRPr="000572AB">
        <w:rPr>
          <w:sz w:val="20"/>
          <w:szCs w:val="20"/>
          <w:lang w:val="ru-RU"/>
        </w:rPr>
        <w:t xml:space="preserve"> </w:t>
      </w:r>
      <w:r w:rsidR="00D6553A" w:rsidRPr="000572AB">
        <w:rPr>
          <w:sz w:val="20"/>
          <w:szCs w:val="20"/>
        </w:rPr>
        <w:t>відображена в бала</w:t>
      </w:r>
      <w:r w:rsidR="007E1EB9" w:rsidRPr="000572AB">
        <w:rPr>
          <w:sz w:val="20"/>
          <w:szCs w:val="20"/>
          <w:lang w:val="ru-RU"/>
        </w:rPr>
        <w:t>н</w:t>
      </w:r>
      <w:r w:rsidR="00D6553A" w:rsidRPr="000572AB">
        <w:rPr>
          <w:sz w:val="20"/>
          <w:szCs w:val="20"/>
        </w:rPr>
        <w:t xml:space="preserve">сі за </w:t>
      </w:r>
      <w:r w:rsidR="009F2008" w:rsidRPr="000572AB">
        <w:rPr>
          <w:sz w:val="20"/>
          <w:szCs w:val="20"/>
        </w:rPr>
        <w:t>амортизовано</w:t>
      </w:r>
      <w:r w:rsidR="00670812" w:rsidRPr="000572AB">
        <w:rPr>
          <w:sz w:val="20"/>
          <w:szCs w:val="20"/>
        </w:rPr>
        <w:t>ю</w:t>
      </w:r>
      <w:r w:rsidR="009F2008" w:rsidRPr="000572AB">
        <w:rPr>
          <w:sz w:val="20"/>
          <w:szCs w:val="20"/>
        </w:rPr>
        <w:t xml:space="preserve"> собівартістю</w:t>
      </w:r>
      <w:r w:rsidR="008224FA" w:rsidRPr="000572AB">
        <w:rPr>
          <w:sz w:val="20"/>
          <w:szCs w:val="20"/>
        </w:rPr>
        <w:t>.</w:t>
      </w:r>
    </w:p>
    <w:p w:rsidR="00E67C8A" w:rsidRPr="000572AB" w:rsidRDefault="00E67C8A" w:rsidP="00D542E2">
      <w:pPr>
        <w:pStyle w:val="a2"/>
        <w:spacing w:line="240" w:lineRule="auto"/>
        <w:ind w:firstLine="709"/>
        <w:rPr>
          <w:rFonts w:ascii="Times New Roman" w:eastAsia="Times New Roman" w:hAnsi="Times New Roman"/>
          <w:color w:val="FF0000"/>
          <w:sz w:val="20"/>
          <w:szCs w:val="20"/>
          <w:lang w:val="ru-RU" w:eastAsia="ru-RU"/>
        </w:rPr>
      </w:pPr>
      <w:r w:rsidRPr="000572AB">
        <w:rPr>
          <w:rFonts w:ascii="Times New Roman" w:eastAsia="Times New Roman" w:hAnsi="Times New Roman"/>
          <w:sz w:val="20"/>
          <w:szCs w:val="20"/>
          <w:lang w:eastAsia="ru-RU"/>
        </w:rPr>
        <w:t>Товариство  очікує погашення цієї заборгованості протягом 2018 року</w:t>
      </w:r>
      <w:r w:rsidRPr="000572AB">
        <w:rPr>
          <w:rFonts w:ascii="Times New Roman" w:eastAsia="Times New Roman" w:hAnsi="Times New Roman"/>
          <w:color w:val="FF0000"/>
          <w:sz w:val="20"/>
          <w:szCs w:val="20"/>
          <w:lang w:eastAsia="ru-RU"/>
        </w:rPr>
        <w:t>.</w:t>
      </w:r>
    </w:p>
    <w:p w:rsidR="00C30AFF" w:rsidRPr="000572AB" w:rsidRDefault="00C30AFF" w:rsidP="00D542E2">
      <w:pPr>
        <w:spacing w:after="0" w:line="240" w:lineRule="auto"/>
        <w:ind w:firstLine="708"/>
        <w:jc w:val="both"/>
        <w:rPr>
          <w:rFonts w:ascii="Times New Roman" w:hAnsi="Times New Roman"/>
          <w:sz w:val="20"/>
          <w:szCs w:val="20"/>
        </w:rPr>
      </w:pPr>
      <w:bookmarkStart w:id="8" w:name="OLE_LINK24"/>
      <w:bookmarkStart w:id="9" w:name="OLE_LINK23"/>
      <w:r w:rsidRPr="000572AB">
        <w:rPr>
          <w:rFonts w:ascii="Times New Roman" w:hAnsi="Times New Roman"/>
          <w:sz w:val="20"/>
          <w:szCs w:val="20"/>
        </w:rPr>
        <w:t>Інша поточна дебіторська заборгованість станом на 31 грудня 2016 року та 31 грудня 2017 року мала наступний вигляд: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8"/>
        <w:gridCol w:w="2412"/>
        <w:gridCol w:w="1696"/>
      </w:tblGrid>
      <w:tr w:rsidR="00C30AFF" w:rsidRPr="000572AB" w:rsidTr="00D542E2">
        <w:trPr>
          <w:trHeight w:val="57"/>
        </w:trPr>
        <w:tc>
          <w:tcPr>
            <w:tcW w:w="5248" w:type="dxa"/>
            <w:tcBorders>
              <w:top w:val="single" w:sz="4" w:space="0" w:color="auto"/>
              <w:left w:val="single" w:sz="4" w:space="0" w:color="auto"/>
              <w:bottom w:val="single" w:sz="4" w:space="0" w:color="auto"/>
              <w:right w:val="single" w:sz="4" w:space="0" w:color="auto"/>
            </w:tcBorders>
            <w:vAlign w:val="center"/>
            <w:hideMark/>
          </w:tcPr>
          <w:p w:rsidR="00C30AFF" w:rsidRPr="000572AB" w:rsidRDefault="00C30AFF" w:rsidP="00D542E2">
            <w:pPr>
              <w:spacing w:after="0" w:line="240" w:lineRule="auto"/>
              <w:jc w:val="both"/>
              <w:rPr>
                <w:rFonts w:ascii="Times New Roman" w:hAnsi="Times New Roman"/>
                <w:sz w:val="20"/>
                <w:szCs w:val="20"/>
              </w:rPr>
            </w:pPr>
            <w:r w:rsidRPr="000572AB">
              <w:rPr>
                <w:rFonts w:ascii="Times New Roman" w:hAnsi="Times New Roman"/>
                <w:b/>
                <w:sz w:val="20"/>
                <w:szCs w:val="20"/>
              </w:rPr>
              <w:t>Вид заборгованості</w:t>
            </w:r>
          </w:p>
        </w:tc>
        <w:tc>
          <w:tcPr>
            <w:tcW w:w="2412" w:type="dxa"/>
            <w:tcBorders>
              <w:top w:val="single" w:sz="4" w:space="0" w:color="auto"/>
              <w:left w:val="single" w:sz="4" w:space="0" w:color="auto"/>
              <w:bottom w:val="single" w:sz="4" w:space="0" w:color="auto"/>
              <w:right w:val="single" w:sz="4" w:space="0" w:color="auto"/>
            </w:tcBorders>
            <w:vAlign w:val="center"/>
            <w:hideMark/>
          </w:tcPr>
          <w:p w:rsidR="00C30AFF" w:rsidRPr="000572AB" w:rsidRDefault="00C30AFF" w:rsidP="00D542E2">
            <w:pPr>
              <w:spacing w:after="0" w:line="240" w:lineRule="auto"/>
              <w:jc w:val="center"/>
              <w:rPr>
                <w:rFonts w:ascii="Times New Roman" w:hAnsi="Times New Roman"/>
                <w:b/>
                <w:sz w:val="20"/>
                <w:szCs w:val="20"/>
              </w:rPr>
            </w:pPr>
            <w:r w:rsidRPr="000572AB">
              <w:rPr>
                <w:rFonts w:ascii="Times New Roman" w:hAnsi="Times New Roman"/>
                <w:b/>
                <w:sz w:val="20"/>
                <w:szCs w:val="20"/>
              </w:rPr>
              <w:t>На 31грудня 2016 року, тис. грн.</w:t>
            </w:r>
          </w:p>
        </w:tc>
        <w:tc>
          <w:tcPr>
            <w:tcW w:w="1696" w:type="dxa"/>
            <w:tcBorders>
              <w:top w:val="single" w:sz="4" w:space="0" w:color="auto"/>
              <w:left w:val="single" w:sz="4" w:space="0" w:color="auto"/>
              <w:bottom w:val="single" w:sz="4" w:space="0" w:color="auto"/>
              <w:right w:val="single" w:sz="4" w:space="0" w:color="auto"/>
            </w:tcBorders>
            <w:hideMark/>
          </w:tcPr>
          <w:p w:rsidR="00C30AFF" w:rsidRPr="000572AB" w:rsidRDefault="00C30AFF" w:rsidP="00D542E2">
            <w:pPr>
              <w:spacing w:after="0" w:line="240" w:lineRule="auto"/>
              <w:jc w:val="center"/>
              <w:rPr>
                <w:rFonts w:ascii="Times New Roman" w:hAnsi="Times New Roman"/>
                <w:b/>
                <w:sz w:val="20"/>
                <w:szCs w:val="20"/>
              </w:rPr>
            </w:pPr>
            <w:r w:rsidRPr="000572AB">
              <w:rPr>
                <w:rFonts w:ascii="Times New Roman" w:hAnsi="Times New Roman"/>
                <w:b/>
                <w:sz w:val="20"/>
                <w:szCs w:val="20"/>
              </w:rPr>
              <w:t>На 31 грудня 2017 року, тис. грн.</w:t>
            </w:r>
          </w:p>
        </w:tc>
      </w:tr>
      <w:tr w:rsidR="00C30AFF" w:rsidRPr="000572AB" w:rsidTr="00D542E2">
        <w:trPr>
          <w:trHeight w:val="57"/>
        </w:trPr>
        <w:tc>
          <w:tcPr>
            <w:tcW w:w="9356" w:type="dxa"/>
            <w:gridSpan w:val="3"/>
            <w:tcBorders>
              <w:top w:val="single" w:sz="4" w:space="0" w:color="auto"/>
              <w:left w:val="single" w:sz="4" w:space="0" w:color="auto"/>
              <w:bottom w:val="single" w:sz="4" w:space="0" w:color="auto"/>
              <w:right w:val="single" w:sz="4" w:space="0" w:color="auto"/>
            </w:tcBorders>
            <w:hideMark/>
          </w:tcPr>
          <w:p w:rsidR="00C30AFF" w:rsidRPr="000572AB" w:rsidRDefault="00C30AFF" w:rsidP="00D542E2">
            <w:pPr>
              <w:spacing w:after="0" w:line="240" w:lineRule="auto"/>
              <w:rPr>
                <w:rFonts w:ascii="Times New Roman" w:hAnsi="Times New Roman"/>
                <w:b/>
                <w:bCs/>
                <w:iCs/>
                <w:sz w:val="20"/>
                <w:szCs w:val="20"/>
              </w:rPr>
            </w:pPr>
            <w:r w:rsidRPr="000572AB">
              <w:rPr>
                <w:rFonts w:ascii="Times New Roman" w:hAnsi="Times New Roman"/>
                <w:b/>
                <w:bCs/>
                <w:iCs/>
                <w:sz w:val="20"/>
                <w:szCs w:val="20"/>
              </w:rPr>
              <w:t>Дебіторська заборгованість</w:t>
            </w:r>
          </w:p>
        </w:tc>
      </w:tr>
      <w:tr w:rsidR="00C30AFF" w:rsidRPr="000572AB" w:rsidTr="00D542E2">
        <w:trPr>
          <w:trHeight w:val="57"/>
        </w:trPr>
        <w:tc>
          <w:tcPr>
            <w:tcW w:w="5248" w:type="dxa"/>
            <w:tcBorders>
              <w:top w:val="single" w:sz="4" w:space="0" w:color="auto"/>
              <w:left w:val="single" w:sz="4" w:space="0" w:color="auto"/>
              <w:bottom w:val="single" w:sz="4" w:space="0" w:color="auto"/>
              <w:right w:val="single" w:sz="4" w:space="0" w:color="auto"/>
            </w:tcBorders>
            <w:hideMark/>
          </w:tcPr>
          <w:p w:rsidR="00C30AFF" w:rsidRPr="000572AB" w:rsidRDefault="00C30AFF" w:rsidP="00D542E2">
            <w:pPr>
              <w:spacing w:after="0" w:line="240" w:lineRule="auto"/>
              <w:rPr>
                <w:rFonts w:ascii="Times New Roman" w:hAnsi="Times New Roman"/>
                <w:sz w:val="20"/>
                <w:szCs w:val="20"/>
              </w:rPr>
            </w:pPr>
            <w:r w:rsidRPr="000572AB">
              <w:rPr>
                <w:rFonts w:ascii="Times New Roman" w:hAnsi="Times New Roman"/>
                <w:sz w:val="20"/>
                <w:szCs w:val="20"/>
              </w:rPr>
              <w:t xml:space="preserve">Заборгованість по виданим позикам , в тому числі на </w:t>
            </w:r>
            <w:r w:rsidRPr="000572AB">
              <w:rPr>
                <w:rFonts w:ascii="Times New Roman" w:hAnsi="Times New Roman"/>
                <w:sz w:val="20"/>
                <w:szCs w:val="20"/>
              </w:rPr>
              <w:lastRenderedPageBreak/>
              <w:t xml:space="preserve">умовах фінансового кредиту </w:t>
            </w:r>
          </w:p>
        </w:tc>
        <w:tc>
          <w:tcPr>
            <w:tcW w:w="2412" w:type="dxa"/>
            <w:tcBorders>
              <w:top w:val="single" w:sz="4" w:space="0" w:color="auto"/>
              <w:left w:val="single" w:sz="4" w:space="0" w:color="auto"/>
              <w:bottom w:val="single" w:sz="4" w:space="0" w:color="auto"/>
              <w:right w:val="single" w:sz="4" w:space="0" w:color="auto"/>
            </w:tcBorders>
            <w:vAlign w:val="center"/>
            <w:hideMark/>
          </w:tcPr>
          <w:p w:rsidR="00C30AFF" w:rsidRPr="000572AB" w:rsidRDefault="00C30AFF" w:rsidP="00D542E2">
            <w:pPr>
              <w:spacing w:after="0" w:line="240" w:lineRule="auto"/>
              <w:jc w:val="right"/>
              <w:rPr>
                <w:rFonts w:ascii="Times New Roman" w:hAnsi="Times New Roman"/>
                <w:sz w:val="20"/>
                <w:szCs w:val="20"/>
              </w:rPr>
            </w:pPr>
            <w:r w:rsidRPr="000572AB">
              <w:rPr>
                <w:rFonts w:ascii="Times New Roman" w:hAnsi="Times New Roman"/>
                <w:sz w:val="20"/>
                <w:szCs w:val="20"/>
              </w:rPr>
              <w:lastRenderedPageBreak/>
              <w:t>59 544</w:t>
            </w:r>
          </w:p>
        </w:tc>
        <w:tc>
          <w:tcPr>
            <w:tcW w:w="1696" w:type="dxa"/>
            <w:tcBorders>
              <w:top w:val="single" w:sz="4" w:space="0" w:color="auto"/>
              <w:left w:val="single" w:sz="4" w:space="0" w:color="auto"/>
              <w:bottom w:val="single" w:sz="4" w:space="0" w:color="auto"/>
              <w:right w:val="single" w:sz="4" w:space="0" w:color="auto"/>
            </w:tcBorders>
            <w:vAlign w:val="center"/>
            <w:hideMark/>
          </w:tcPr>
          <w:p w:rsidR="00C30AFF" w:rsidRPr="000572AB" w:rsidRDefault="00913CCA" w:rsidP="00D542E2">
            <w:pPr>
              <w:spacing w:after="0" w:line="240" w:lineRule="auto"/>
              <w:jc w:val="right"/>
              <w:rPr>
                <w:rFonts w:ascii="Times New Roman" w:hAnsi="Times New Roman"/>
                <w:sz w:val="20"/>
                <w:szCs w:val="20"/>
              </w:rPr>
            </w:pPr>
            <w:r w:rsidRPr="000572AB">
              <w:rPr>
                <w:rFonts w:ascii="Times New Roman" w:hAnsi="Times New Roman"/>
                <w:sz w:val="20"/>
                <w:szCs w:val="20"/>
              </w:rPr>
              <w:t xml:space="preserve">20 </w:t>
            </w:r>
            <w:r w:rsidR="0029203C" w:rsidRPr="000572AB">
              <w:rPr>
                <w:rFonts w:ascii="Times New Roman" w:hAnsi="Times New Roman"/>
                <w:sz w:val="20"/>
                <w:szCs w:val="20"/>
              </w:rPr>
              <w:t>71</w:t>
            </w:r>
            <w:r w:rsidR="00AD3CD6" w:rsidRPr="000572AB">
              <w:rPr>
                <w:rFonts w:ascii="Times New Roman" w:hAnsi="Times New Roman"/>
                <w:sz w:val="20"/>
                <w:szCs w:val="20"/>
              </w:rPr>
              <w:t>6</w:t>
            </w:r>
          </w:p>
        </w:tc>
      </w:tr>
      <w:tr w:rsidR="00C30AFF" w:rsidRPr="000572AB" w:rsidTr="00D542E2">
        <w:trPr>
          <w:trHeight w:val="57"/>
        </w:trPr>
        <w:tc>
          <w:tcPr>
            <w:tcW w:w="5248" w:type="dxa"/>
            <w:tcBorders>
              <w:top w:val="single" w:sz="4" w:space="0" w:color="auto"/>
              <w:left w:val="single" w:sz="4" w:space="0" w:color="auto"/>
              <w:bottom w:val="single" w:sz="4" w:space="0" w:color="auto"/>
              <w:right w:val="single" w:sz="4" w:space="0" w:color="auto"/>
            </w:tcBorders>
            <w:vAlign w:val="center"/>
            <w:hideMark/>
          </w:tcPr>
          <w:p w:rsidR="00C30AFF" w:rsidRPr="000572AB" w:rsidRDefault="00C30AFF" w:rsidP="00D542E2">
            <w:pPr>
              <w:spacing w:after="0" w:line="240" w:lineRule="auto"/>
              <w:rPr>
                <w:rFonts w:ascii="Times New Roman" w:hAnsi="Times New Roman"/>
                <w:sz w:val="20"/>
                <w:szCs w:val="20"/>
              </w:rPr>
            </w:pPr>
            <w:r w:rsidRPr="000572AB">
              <w:rPr>
                <w:rFonts w:ascii="Times New Roman" w:hAnsi="Times New Roman"/>
                <w:sz w:val="20"/>
                <w:szCs w:val="20"/>
              </w:rPr>
              <w:lastRenderedPageBreak/>
              <w:t xml:space="preserve">Заборгованість за операціями з цінними паперами </w:t>
            </w:r>
          </w:p>
        </w:tc>
        <w:tc>
          <w:tcPr>
            <w:tcW w:w="2412" w:type="dxa"/>
            <w:tcBorders>
              <w:top w:val="single" w:sz="4" w:space="0" w:color="auto"/>
              <w:left w:val="single" w:sz="4" w:space="0" w:color="auto"/>
              <w:bottom w:val="single" w:sz="4" w:space="0" w:color="auto"/>
              <w:right w:val="single" w:sz="4" w:space="0" w:color="auto"/>
            </w:tcBorders>
            <w:vAlign w:val="center"/>
            <w:hideMark/>
          </w:tcPr>
          <w:p w:rsidR="00C30AFF" w:rsidRPr="000572AB" w:rsidRDefault="00BB16ED" w:rsidP="00D542E2">
            <w:pPr>
              <w:spacing w:after="0" w:line="240" w:lineRule="auto"/>
              <w:jc w:val="right"/>
              <w:rPr>
                <w:rFonts w:ascii="Times New Roman" w:hAnsi="Times New Roman"/>
                <w:sz w:val="20"/>
                <w:szCs w:val="20"/>
              </w:rPr>
            </w:pPr>
            <w:r w:rsidRPr="000572AB">
              <w:rPr>
                <w:rFonts w:ascii="Times New Roman" w:hAnsi="Times New Roman"/>
                <w:sz w:val="20"/>
                <w:szCs w:val="20"/>
              </w:rPr>
              <w:t>82 055</w:t>
            </w:r>
          </w:p>
        </w:tc>
        <w:tc>
          <w:tcPr>
            <w:tcW w:w="1696" w:type="dxa"/>
            <w:tcBorders>
              <w:top w:val="single" w:sz="4" w:space="0" w:color="auto"/>
              <w:left w:val="single" w:sz="4" w:space="0" w:color="auto"/>
              <w:bottom w:val="single" w:sz="4" w:space="0" w:color="auto"/>
              <w:right w:val="single" w:sz="4" w:space="0" w:color="auto"/>
            </w:tcBorders>
            <w:vAlign w:val="center"/>
            <w:hideMark/>
          </w:tcPr>
          <w:p w:rsidR="00C30AFF" w:rsidRPr="000572AB" w:rsidRDefault="00C30AFF" w:rsidP="00D542E2">
            <w:pPr>
              <w:spacing w:after="0" w:line="240" w:lineRule="auto"/>
              <w:jc w:val="right"/>
              <w:rPr>
                <w:rFonts w:ascii="Times New Roman" w:hAnsi="Times New Roman"/>
                <w:sz w:val="20"/>
                <w:szCs w:val="20"/>
              </w:rPr>
            </w:pPr>
            <w:r w:rsidRPr="000572AB">
              <w:rPr>
                <w:rFonts w:ascii="Times New Roman" w:hAnsi="Times New Roman"/>
                <w:sz w:val="20"/>
                <w:szCs w:val="20"/>
              </w:rPr>
              <w:t>205 734</w:t>
            </w:r>
          </w:p>
        </w:tc>
      </w:tr>
      <w:tr w:rsidR="00C30AFF" w:rsidRPr="000572AB" w:rsidTr="00D542E2">
        <w:trPr>
          <w:trHeight w:val="57"/>
        </w:trPr>
        <w:tc>
          <w:tcPr>
            <w:tcW w:w="5248" w:type="dxa"/>
            <w:tcBorders>
              <w:top w:val="single" w:sz="4" w:space="0" w:color="auto"/>
              <w:left w:val="single" w:sz="4" w:space="0" w:color="auto"/>
              <w:bottom w:val="single" w:sz="4" w:space="0" w:color="auto"/>
              <w:right w:val="single" w:sz="4" w:space="0" w:color="auto"/>
            </w:tcBorders>
            <w:hideMark/>
          </w:tcPr>
          <w:p w:rsidR="00C30AFF" w:rsidRPr="000572AB" w:rsidRDefault="00C30AFF" w:rsidP="00D542E2">
            <w:pPr>
              <w:spacing w:after="0" w:line="240" w:lineRule="auto"/>
              <w:rPr>
                <w:rFonts w:ascii="Times New Roman" w:hAnsi="Times New Roman"/>
                <w:sz w:val="20"/>
                <w:szCs w:val="20"/>
              </w:rPr>
            </w:pPr>
            <w:r w:rsidRPr="000572AB">
              <w:rPr>
                <w:rFonts w:ascii="Times New Roman" w:hAnsi="Times New Roman"/>
                <w:sz w:val="20"/>
                <w:szCs w:val="20"/>
              </w:rPr>
              <w:t>Заборгованість за відступленням прав</w:t>
            </w:r>
            <w:r w:rsidR="0093193E" w:rsidRPr="000572AB">
              <w:rPr>
                <w:rFonts w:ascii="Times New Roman" w:hAnsi="Times New Roman"/>
                <w:sz w:val="20"/>
                <w:szCs w:val="20"/>
              </w:rPr>
              <w:t xml:space="preserve"> </w:t>
            </w:r>
            <w:r w:rsidRPr="000572AB">
              <w:rPr>
                <w:rFonts w:ascii="Times New Roman" w:hAnsi="Times New Roman"/>
                <w:sz w:val="20"/>
                <w:szCs w:val="20"/>
              </w:rPr>
              <w:t xml:space="preserve"> вимоги</w:t>
            </w:r>
          </w:p>
        </w:tc>
        <w:tc>
          <w:tcPr>
            <w:tcW w:w="2412" w:type="dxa"/>
            <w:tcBorders>
              <w:top w:val="single" w:sz="4" w:space="0" w:color="auto"/>
              <w:left w:val="single" w:sz="4" w:space="0" w:color="auto"/>
              <w:bottom w:val="single" w:sz="4" w:space="0" w:color="auto"/>
              <w:right w:val="single" w:sz="4" w:space="0" w:color="auto"/>
            </w:tcBorders>
            <w:vAlign w:val="center"/>
            <w:hideMark/>
          </w:tcPr>
          <w:p w:rsidR="00C30AFF" w:rsidRPr="000572AB" w:rsidRDefault="00913CCA" w:rsidP="00D542E2">
            <w:pPr>
              <w:spacing w:after="0" w:line="240" w:lineRule="auto"/>
              <w:jc w:val="right"/>
              <w:rPr>
                <w:rFonts w:ascii="Times New Roman" w:hAnsi="Times New Roman"/>
                <w:sz w:val="20"/>
                <w:szCs w:val="20"/>
              </w:rPr>
            </w:pPr>
            <w:r w:rsidRPr="000572AB">
              <w:rPr>
                <w:rFonts w:ascii="Times New Roman" w:hAnsi="Times New Roman"/>
                <w:sz w:val="20"/>
                <w:szCs w:val="20"/>
              </w:rPr>
              <w:t>56 713</w:t>
            </w:r>
          </w:p>
        </w:tc>
        <w:tc>
          <w:tcPr>
            <w:tcW w:w="1696" w:type="dxa"/>
            <w:tcBorders>
              <w:top w:val="single" w:sz="4" w:space="0" w:color="auto"/>
              <w:left w:val="single" w:sz="4" w:space="0" w:color="auto"/>
              <w:bottom w:val="single" w:sz="4" w:space="0" w:color="auto"/>
              <w:right w:val="single" w:sz="4" w:space="0" w:color="auto"/>
            </w:tcBorders>
            <w:vAlign w:val="center"/>
            <w:hideMark/>
          </w:tcPr>
          <w:p w:rsidR="00C30AFF" w:rsidRPr="000572AB" w:rsidRDefault="00C30AFF" w:rsidP="00D542E2">
            <w:pPr>
              <w:spacing w:after="0" w:line="240" w:lineRule="auto"/>
              <w:jc w:val="right"/>
              <w:rPr>
                <w:rFonts w:ascii="Times New Roman" w:hAnsi="Times New Roman"/>
                <w:sz w:val="20"/>
                <w:szCs w:val="20"/>
              </w:rPr>
            </w:pPr>
            <w:r w:rsidRPr="000572AB">
              <w:rPr>
                <w:rFonts w:ascii="Times New Roman" w:hAnsi="Times New Roman"/>
                <w:sz w:val="20"/>
                <w:szCs w:val="20"/>
              </w:rPr>
              <w:t xml:space="preserve">21 </w:t>
            </w:r>
            <w:r w:rsidR="0029203C" w:rsidRPr="000572AB">
              <w:rPr>
                <w:rFonts w:ascii="Times New Roman" w:hAnsi="Times New Roman"/>
                <w:sz w:val="20"/>
                <w:szCs w:val="20"/>
              </w:rPr>
              <w:t>80</w:t>
            </w:r>
            <w:r w:rsidR="00AD3CD6" w:rsidRPr="000572AB">
              <w:rPr>
                <w:rFonts w:ascii="Times New Roman" w:hAnsi="Times New Roman"/>
                <w:sz w:val="20"/>
                <w:szCs w:val="20"/>
              </w:rPr>
              <w:t>7</w:t>
            </w:r>
          </w:p>
        </w:tc>
      </w:tr>
      <w:tr w:rsidR="0029203C" w:rsidRPr="000572AB" w:rsidTr="00D542E2">
        <w:trPr>
          <w:trHeight w:val="391"/>
        </w:trPr>
        <w:tc>
          <w:tcPr>
            <w:tcW w:w="5248" w:type="dxa"/>
            <w:tcBorders>
              <w:top w:val="single" w:sz="4" w:space="0" w:color="auto"/>
              <w:left w:val="single" w:sz="4" w:space="0" w:color="auto"/>
              <w:bottom w:val="single" w:sz="4" w:space="0" w:color="auto"/>
              <w:right w:val="single" w:sz="4" w:space="0" w:color="auto"/>
            </w:tcBorders>
            <w:hideMark/>
          </w:tcPr>
          <w:p w:rsidR="0029203C" w:rsidRPr="000572AB" w:rsidRDefault="0093193E" w:rsidP="00D542E2">
            <w:pPr>
              <w:spacing w:after="0" w:line="240" w:lineRule="auto"/>
              <w:rPr>
                <w:rFonts w:ascii="Times New Roman" w:hAnsi="Times New Roman"/>
                <w:sz w:val="20"/>
                <w:szCs w:val="20"/>
              </w:rPr>
            </w:pPr>
            <w:r w:rsidRPr="000572AB">
              <w:rPr>
                <w:rFonts w:ascii="Times New Roman" w:hAnsi="Times New Roman"/>
                <w:sz w:val="20"/>
                <w:szCs w:val="20"/>
              </w:rPr>
              <w:t>Інші операції</w:t>
            </w:r>
          </w:p>
        </w:tc>
        <w:tc>
          <w:tcPr>
            <w:tcW w:w="2412" w:type="dxa"/>
            <w:tcBorders>
              <w:top w:val="single" w:sz="4" w:space="0" w:color="auto"/>
              <w:left w:val="single" w:sz="4" w:space="0" w:color="auto"/>
              <w:bottom w:val="single" w:sz="4" w:space="0" w:color="auto"/>
              <w:right w:val="single" w:sz="4" w:space="0" w:color="auto"/>
            </w:tcBorders>
            <w:vAlign w:val="center"/>
            <w:hideMark/>
          </w:tcPr>
          <w:p w:rsidR="0029203C" w:rsidRPr="000572AB" w:rsidRDefault="0029203C" w:rsidP="00D542E2">
            <w:pPr>
              <w:spacing w:after="0" w:line="240" w:lineRule="auto"/>
              <w:jc w:val="right"/>
              <w:rPr>
                <w:rFonts w:ascii="Times New Roman" w:hAnsi="Times New Roman"/>
                <w:sz w:val="20"/>
                <w:szCs w:val="20"/>
              </w:rPr>
            </w:pPr>
            <w:r w:rsidRPr="000572AB">
              <w:rPr>
                <w:rFonts w:ascii="Times New Roman" w:hAnsi="Times New Roman"/>
                <w:sz w:val="20"/>
                <w:szCs w:val="20"/>
              </w:rPr>
              <w:t>-</w:t>
            </w:r>
          </w:p>
        </w:tc>
        <w:tc>
          <w:tcPr>
            <w:tcW w:w="1696" w:type="dxa"/>
            <w:tcBorders>
              <w:top w:val="single" w:sz="4" w:space="0" w:color="auto"/>
              <w:left w:val="single" w:sz="4" w:space="0" w:color="auto"/>
              <w:bottom w:val="single" w:sz="4" w:space="0" w:color="auto"/>
              <w:right w:val="single" w:sz="4" w:space="0" w:color="auto"/>
            </w:tcBorders>
            <w:vAlign w:val="center"/>
            <w:hideMark/>
          </w:tcPr>
          <w:p w:rsidR="0029203C" w:rsidRPr="000572AB" w:rsidRDefault="0029203C" w:rsidP="00D542E2">
            <w:pPr>
              <w:spacing w:after="0" w:line="240" w:lineRule="auto"/>
              <w:jc w:val="right"/>
              <w:rPr>
                <w:rFonts w:ascii="Times New Roman" w:hAnsi="Times New Roman"/>
                <w:sz w:val="20"/>
                <w:szCs w:val="20"/>
              </w:rPr>
            </w:pPr>
            <w:r w:rsidRPr="000572AB">
              <w:rPr>
                <w:rFonts w:ascii="Times New Roman" w:hAnsi="Times New Roman"/>
                <w:sz w:val="20"/>
                <w:szCs w:val="20"/>
              </w:rPr>
              <w:t>5</w:t>
            </w:r>
          </w:p>
        </w:tc>
      </w:tr>
      <w:tr w:rsidR="00C30AFF" w:rsidRPr="000572AB" w:rsidTr="00D542E2">
        <w:trPr>
          <w:trHeight w:val="57"/>
        </w:trPr>
        <w:tc>
          <w:tcPr>
            <w:tcW w:w="5248" w:type="dxa"/>
            <w:tcBorders>
              <w:top w:val="single" w:sz="4" w:space="0" w:color="auto"/>
              <w:left w:val="single" w:sz="4" w:space="0" w:color="auto"/>
              <w:bottom w:val="single" w:sz="4" w:space="0" w:color="auto"/>
              <w:right w:val="single" w:sz="4" w:space="0" w:color="auto"/>
            </w:tcBorders>
            <w:vAlign w:val="center"/>
            <w:hideMark/>
          </w:tcPr>
          <w:p w:rsidR="00C30AFF" w:rsidRPr="000572AB" w:rsidRDefault="00C30AFF" w:rsidP="00D542E2">
            <w:pPr>
              <w:spacing w:after="0" w:line="240" w:lineRule="auto"/>
              <w:rPr>
                <w:rFonts w:ascii="Times New Roman" w:hAnsi="Times New Roman"/>
                <w:b/>
                <w:bCs/>
                <w:sz w:val="20"/>
                <w:szCs w:val="20"/>
              </w:rPr>
            </w:pPr>
            <w:r w:rsidRPr="000572AB">
              <w:rPr>
                <w:rFonts w:ascii="Times New Roman" w:hAnsi="Times New Roman"/>
                <w:b/>
                <w:bCs/>
                <w:sz w:val="20"/>
                <w:szCs w:val="20"/>
              </w:rPr>
              <w:t>Всього</w:t>
            </w:r>
          </w:p>
        </w:tc>
        <w:tc>
          <w:tcPr>
            <w:tcW w:w="2412" w:type="dxa"/>
            <w:tcBorders>
              <w:top w:val="single" w:sz="4" w:space="0" w:color="auto"/>
              <w:left w:val="single" w:sz="4" w:space="0" w:color="auto"/>
              <w:bottom w:val="single" w:sz="4" w:space="0" w:color="auto"/>
              <w:right w:val="single" w:sz="4" w:space="0" w:color="auto"/>
            </w:tcBorders>
            <w:vAlign w:val="center"/>
            <w:hideMark/>
          </w:tcPr>
          <w:p w:rsidR="00C30AFF" w:rsidRPr="000572AB" w:rsidRDefault="00BB16ED" w:rsidP="00D542E2">
            <w:pPr>
              <w:spacing w:after="0" w:line="240" w:lineRule="auto"/>
              <w:jc w:val="right"/>
              <w:rPr>
                <w:rFonts w:ascii="Times New Roman" w:hAnsi="Times New Roman"/>
                <w:b/>
                <w:bCs/>
                <w:sz w:val="20"/>
                <w:szCs w:val="20"/>
                <w:lang w:val="ru-RU"/>
              </w:rPr>
            </w:pPr>
            <w:r w:rsidRPr="000572AB">
              <w:rPr>
                <w:rFonts w:ascii="Times New Roman" w:hAnsi="Times New Roman"/>
                <w:b/>
                <w:bCs/>
                <w:sz w:val="20"/>
                <w:szCs w:val="20"/>
                <w:lang w:val="ru-RU"/>
              </w:rPr>
              <w:t xml:space="preserve">198 </w:t>
            </w:r>
            <w:r w:rsidR="00913CCA" w:rsidRPr="000572AB">
              <w:rPr>
                <w:rFonts w:ascii="Times New Roman" w:hAnsi="Times New Roman"/>
                <w:b/>
                <w:bCs/>
                <w:sz w:val="20"/>
                <w:szCs w:val="20"/>
                <w:lang w:val="ru-RU"/>
              </w:rPr>
              <w:t>312</w:t>
            </w:r>
          </w:p>
        </w:tc>
        <w:tc>
          <w:tcPr>
            <w:tcW w:w="1696" w:type="dxa"/>
            <w:tcBorders>
              <w:top w:val="single" w:sz="4" w:space="0" w:color="auto"/>
              <w:left w:val="single" w:sz="4" w:space="0" w:color="auto"/>
              <w:bottom w:val="single" w:sz="4" w:space="0" w:color="auto"/>
              <w:right w:val="single" w:sz="4" w:space="0" w:color="auto"/>
            </w:tcBorders>
            <w:vAlign w:val="center"/>
            <w:hideMark/>
          </w:tcPr>
          <w:p w:rsidR="00C30AFF" w:rsidRPr="000572AB" w:rsidRDefault="00C30AFF" w:rsidP="00D542E2">
            <w:pPr>
              <w:spacing w:after="0" w:line="240" w:lineRule="auto"/>
              <w:jc w:val="right"/>
              <w:rPr>
                <w:rFonts w:ascii="Times New Roman" w:hAnsi="Times New Roman"/>
                <w:b/>
                <w:bCs/>
                <w:sz w:val="20"/>
                <w:szCs w:val="20"/>
                <w:lang w:val="ru-RU"/>
              </w:rPr>
            </w:pPr>
            <w:r w:rsidRPr="000572AB">
              <w:rPr>
                <w:rFonts w:ascii="Times New Roman" w:hAnsi="Times New Roman"/>
                <w:b/>
                <w:bCs/>
                <w:sz w:val="20"/>
                <w:szCs w:val="20"/>
                <w:lang w:val="ru-RU"/>
              </w:rPr>
              <w:t>248 262</w:t>
            </w:r>
          </w:p>
        </w:tc>
      </w:tr>
    </w:tbl>
    <w:p w:rsidR="00AD3CD6" w:rsidRPr="000572AB" w:rsidRDefault="008224FA" w:rsidP="00D542E2">
      <w:pPr>
        <w:spacing w:after="0" w:line="240" w:lineRule="auto"/>
        <w:ind w:firstLine="708"/>
        <w:jc w:val="both"/>
        <w:rPr>
          <w:rFonts w:ascii="Times New Roman" w:hAnsi="Times New Roman"/>
          <w:sz w:val="20"/>
          <w:szCs w:val="20"/>
          <w:lang w:val="ru-RU"/>
        </w:rPr>
      </w:pPr>
      <w:r w:rsidRPr="000572AB">
        <w:rPr>
          <w:rFonts w:ascii="Times New Roman" w:hAnsi="Times New Roman"/>
          <w:sz w:val="20"/>
          <w:szCs w:val="20"/>
        </w:rPr>
        <w:t xml:space="preserve">Протягом 2017 року </w:t>
      </w:r>
      <w:r w:rsidR="0093193E" w:rsidRPr="000572AB">
        <w:rPr>
          <w:rFonts w:ascii="Times New Roman" w:hAnsi="Times New Roman"/>
          <w:sz w:val="20"/>
          <w:szCs w:val="20"/>
        </w:rPr>
        <w:t xml:space="preserve">за операціями з цінними паперами , за операціями відступлення права вимоги та іншими операціями ознак знецінення заборгованості  </w:t>
      </w:r>
      <w:r w:rsidRPr="000572AB">
        <w:rPr>
          <w:rFonts w:ascii="Times New Roman" w:hAnsi="Times New Roman"/>
          <w:sz w:val="20"/>
          <w:szCs w:val="20"/>
        </w:rPr>
        <w:t>не виявлено</w:t>
      </w:r>
      <w:r w:rsidR="0093193E" w:rsidRPr="000572AB">
        <w:rPr>
          <w:rFonts w:ascii="Times New Roman" w:hAnsi="Times New Roman"/>
          <w:sz w:val="20"/>
          <w:szCs w:val="20"/>
        </w:rPr>
        <w:t>.</w:t>
      </w:r>
      <w:r w:rsidR="00E0472B" w:rsidRPr="000572AB">
        <w:rPr>
          <w:rFonts w:ascii="Times New Roman" w:hAnsi="Times New Roman"/>
          <w:sz w:val="20"/>
          <w:szCs w:val="20"/>
          <w:lang w:val="ru-RU"/>
        </w:rPr>
        <w:t xml:space="preserve"> </w:t>
      </w:r>
    </w:p>
    <w:p w:rsidR="0093193E" w:rsidRPr="000572AB" w:rsidRDefault="0093193E" w:rsidP="00D542E2">
      <w:pPr>
        <w:spacing w:after="0" w:line="240" w:lineRule="auto"/>
        <w:ind w:firstLine="708"/>
        <w:jc w:val="both"/>
        <w:rPr>
          <w:rFonts w:ascii="Times New Roman" w:hAnsi="Times New Roman"/>
          <w:sz w:val="20"/>
          <w:szCs w:val="20"/>
          <w:lang w:val="ru-RU"/>
        </w:rPr>
      </w:pPr>
    </w:p>
    <w:p w:rsidR="00806D35" w:rsidRPr="000572AB" w:rsidRDefault="0093193E" w:rsidP="00D542E2">
      <w:pPr>
        <w:spacing w:after="0" w:line="240" w:lineRule="auto"/>
        <w:ind w:firstLine="708"/>
        <w:jc w:val="both"/>
        <w:rPr>
          <w:rFonts w:ascii="Times New Roman" w:hAnsi="Times New Roman"/>
          <w:sz w:val="20"/>
          <w:szCs w:val="20"/>
        </w:rPr>
      </w:pPr>
      <w:r w:rsidRPr="000572AB">
        <w:rPr>
          <w:rFonts w:ascii="Times New Roman" w:hAnsi="Times New Roman"/>
          <w:sz w:val="20"/>
          <w:szCs w:val="20"/>
        </w:rPr>
        <w:t>Частина д</w:t>
      </w:r>
      <w:r w:rsidR="00806D35" w:rsidRPr="000572AB">
        <w:rPr>
          <w:rFonts w:ascii="Times New Roman" w:hAnsi="Times New Roman"/>
          <w:sz w:val="20"/>
          <w:szCs w:val="20"/>
        </w:rPr>
        <w:t>ебіторсь</w:t>
      </w:r>
      <w:r w:rsidRPr="000572AB">
        <w:rPr>
          <w:rFonts w:ascii="Times New Roman" w:hAnsi="Times New Roman"/>
          <w:sz w:val="20"/>
          <w:szCs w:val="20"/>
        </w:rPr>
        <w:t xml:space="preserve">кої заборгованості </w:t>
      </w:r>
      <w:r w:rsidR="00E67C8A" w:rsidRPr="000572AB">
        <w:rPr>
          <w:rFonts w:ascii="Times New Roman" w:hAnsi="Times New Roman"/>
          <w:sz w:val="20"/>
          <w:szCs w:val="20"/>
        </w:rPr>
        <w:t xml:space="preserve">за </w:t>
      </w:r>
      <w:r w:rsidR="00E67C8A" w:rsidRPr="000572AB">
        <w:rPr>
          <w:rFonts w:ascii="Times New Roman" w:hAnsi="Times New Roman"/>
          <w:b/>
          <w:sz w:val="20"/>
          <w:szCs w:val="20"/>
        </w:rPr>
        <w:t>позиками та фінансовими кредит</w:t>
      </w:r>
      <w:r w:rsidR="00A53C31" w:rsidRPr="000572AB">
        <w:rPr>
          <w:rFonts w:ascii="Times New Roman" w:hAnsi="Times New Roman"/>
          <w:b/>
          <w:sz w:val="20"/>
          <w:szCs w:val="20"/>
        </w:rPr>
        <w:t xml:space="preserve">ами </w:t>
      </w:r>
      <w:r w:rsidRPr="000572AB">
        <w:rPr>
          <w:rFonts w:ascii="Times New Roman" w:hAnsi="Times New Roman"/>
          <w:sz w:val="20"/>
          <w:szCs w:val="20"/>
        </w:rPr>
        <w:t xml:space="preserve">була знецінена з огляду на наявність ознак знецінення. На </w:t>
      </w:r>
      <w:r w:rsidR="00806D35" w:rsidRPr="000572AB">
        <w:rPr>
          <w:rFonts w:ascii="Times New Roman" w:hAnsi="Times New Roman"/>
          <w:sz w:val="20"/>
          <w:szCs w:val="20"/>
        </w:rPr>
        <w:t>31 грудня 20</w:t>
      </w:r>
      <w:r w:rsidR="00E67C8A" w:rsidRPr="000572AB">
        <w:rPr>
          <w:rFonts w:ascii="Times New Roman" w:hAnsi="Times New Roman"/>
          <w:sz w:val="20"/>
          <w:szCs w:val="20"/>
        </w:rPr>
        <w:t>1</w:t>
      </w:r>
      <w:r w:rsidR="00806D35" w:rsidRPr="000572AB">
        <w:rPr>
          <w:rFonts w:ascii="Times New Roman" w:hAnsi="Times New Roman"/>
          <w:sz w:val="20"/>
          <w:szCs w:val="20"/>
        </w:rPr>
        <w:t xml:space="preserve">6 року та 31 грудня 2017 року </w:t>
      </w:r>
      <w:r w:rsidR="00B85F4B" w:rsidRPr="000572AB">
        <w:rPr>
          <w:rFonts w:ascii="Times New Roman" w:hAnsi="Times New Roman"/>
          <w:sz w:val="20"/>
          <w:szCs w:val="20"/>
        </w:rPr>
        <w:t xml:space="preserve">дебіторська заборгованість за </w:t>
      </w:r>
      <w:r w:rsidR="00B85F4B" w:rsidRPr="000572AB">
        <w:rPr>
          <w:rFonts w:ascii="Times New Roman" w:hAnsi="Times New Roman"/>
          <w:b/>
          <w:sz w:val="20"/>
          <w:szCs w:val="20"/>
        </w:rPr>
        <w:t xml:space="preserve">позиками та фінансовими кредитами </w:t>
      </w:r>
      <w:r w:rsidR="00806D35" w:rsidRPr="000572AB">
        <w:rPr>
          <w:rFonts w:ascii="Times New Roman" w:hAnsi="Times New Roman"/>
          <w:sz w:val="20"/>
          <w:szCs w:val="20"/>
        </w:rPr>
        <w:t>мала наступний вигляд: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8"/>
        <w:gridCol w:w="2412"/>
        <w:gridCol w:w="1696"/>
      </w:tblGrid>
      <w:tr w:rsidR="00806D35" w:rsidRPr="000572AB" w:rsidTr="00D542E2">
        <w:trPr>
          <w:trHeight w:val="57"/>
        </w:trPr>
        <w:tc>
          <w:tcPr>
            <w:tcW w:w="5248" w:type="dxa"/>
            <w:tcBorders>
              <w:top w:val="single" w:sz="4" w:space="0" w:color="auto"/>
              <w:left w:val="single" w:sz="4" w:space="0" w:color="auto"/>
              <w:bottom w:val="single" w:sz="4" w:space="0" w:color="auto"/>
              <w:right w:val="single" w:sz="4" w:space="0" w:color="auto"/>
            </w:tcBorders>
            <w:vAlign w:val="center"/>
            <w:hideMark/>
          </w:tcPr>
          <w:p w:rsidR="00806D35" w:rsidRPr="000572AB" w:rsidRDefault="00806D35" w:rsidP="00D542E2">
            <w:pPr>
              <w:spacing w:after="0" w:line="240" w:lineRule="auto"/>
              <w:jc w:val="both"/>
              <w:rPr>
                <w:rFonts w:ascii="Times New Roman" w:hAnsi="Times New Roman"/>
                <w:sz w:val="20"/>
                <w:szCs w:val="20"/>
              </w:rPr>
            </w:pPr>
            <w:r w:rsidRPr="000572AB">
              <w:rPr>
                <w:rFonts w:ascii="Times New Roman" w:hAnsi="Times New Roman"/>
                <w:b/>
                <w:sz w:val="20"/>
                <w:szCs w:val="20"/>
              </w:rPr>
              <w:t>Вид заборгованості</w:t>
            </w:r>
          </w:p>
        </w:tc>
        <w:tc>
          <w:tcPr>
            <w:tcW w:w="2412" w:type="dxa"/>
            <w:tcBorders>
              <w:top w:val="single" w:sz="4" w:space="0" w:color="auto"/>
              <w:left w:val="single" w:sz="4" w:space="0" w:color="auto"/>
              <w:bottom w:val="single" w:sz="4" w:space="0" w:color="auto"/>
              <w:right w:val="single" w:sz="4" w:space="0" w:color="auto"/>
            </w:tcBorders>
            <w:vAlign w:val="center"/>
            <w:hideMark/>
          </w:tcPr>
          <w:p w:rsidR="00806D35" w:rsidRPr="000572AB" w:rsidRDefault="00806D35" w:rsidP="00D542E2">
            <w:pPr>
              <w:spacing w:after="0" w:line="240" w:lineRule="auto"/>
              <w:jc w:val="center"/>
              <w:rPr>
                <w:rFonts w:ascii="Times New Roman" w:hAnsi="Times New Roman"/>
                <w:b/>
                <w:sz w:val="20"/>
                <w:szCs w:val="20"/>
              </w:rPr>
            </w:pPr>
            <w:r w:rsidRPr="000572AB">
              <w:rPr>
                <w:rFonts w:ascii="Times New Roman" w:hAnsi="Times New Roman"/>
                <w:b/>
                <w:sz w:val="20"/>
                <w:szCs w:val="20"/>
              </w:rPr>
              <w:t>На 31грудня 2016 року, тис. грн.</w:t>
            </w:r>
          </w:p>
        </w:tc>
        <w:tc>
          <w:tcPr>
            <w:tcW w:w="1696" w:type="dxa"/>
            <w:tcBorders>
              <w:top w:val="single" w:sz="4" w:space="0" w:color="auto"/>
              <w:left w:val="single" w:sz="4" w:space="0" w:color="auto"/>
              <w:bottom w:val="single" w:sz="4" w:space="0" w:color="auto"/>
              <w:right w:val="single" w:sz="4" w:space="0" w:color="auto"/>
            </w:tcBorders>
            <w:hideMark/>
          </w:tcPr>
          <w:p w:rsidR="00806D35" w:rsidRPr="000572AB" w:rsidRDefault="00806D35" w:rsidP="00D542E2">
            <w:pPr>
              <w:spacing w:after="0" w:line="240" w:lineRule="auto"/>
              <w:jc w:val="center"/>
              <w:rPr>
                <w:rFonts w:ascii="Times New Roman" w:hAnsi="Times New Roman"/>
                <w:b/>
                <w:sz w:val="20"/>
                <w:szCs w:val="20"/>
              </w:rPr>
            </w:pPr>
            <w:r w:rsidRPr="000572AB">
              <w:rPr>
                <w:rFonts w:ascii="Times New Roman" w:hAnsi="Times New Roman"/>
                <w:b/>
                <w:sz w:val="20"/>
                <w:szCs w:val="20"/>
              </w:rPr>
              <w:t>На 31 грудня 2017 року, тис. грн.</w:t>
            </w:r>
          </w:p>
        </w:tc>
      </w:tr>
      <w:tr w:rsidR="00806D35" w:rsidRPr="000572AB" w:rsidTr="00D542E2">
        <w:trPr>
          <w:trHeight w:val="57"/>
        </w:trPr>
        <w:tc>
          <w:tcPr>
            <w:tcW w:w="9356" w:type="dxa"/>
            <w:gridSpan w:val="3"/>
            <w:tcBorders>
              <w:top w:val="single" w:sz="4" w:space="0" w:color="auto"/>
              <w:left w:val="single" w:sz="4" w:space="0" w:color="auto"/>
              <w:bottom w:val="single" w:sz="4" w:space="0" w:color="auto"/>
              <w:right w:val="single" w:sz="4" w:space="0" w:color="auto"/>
            </w:tcBorders>
            <w:hideMark/>
          </w:tcPr>
          <w:p w:rsidR="00806D35" w:rsidRPr="000572AB" w:rsidRDefault="00806D35" w:rsidP="00D542E2">
            <w:pPr>
              <w:spacing w:after="0" w:line="240" w:lineRule="auto"/>
              <w:rPr>
                <w:rFonts w:ascii="Times New Roman" w:hAnsi="Times New Roman"/>
                <w:b/>
                <w:bCs/>
                <w:iCs/>
                <w:sz w:val="20"/>
                <w:szCs w:val="20"/>
              </w:rPr>
            </w:pPr>
            <w:r w:rsidRPr="000572AB">
              <w:rPr>
                <w:rFonts w:ascii="Times New Roman" w:hAnsi="Times New Roman"/>
                <w:b/>
                <w:bCs/>
                <w:iCs/>
                <w:sz w:val="20"/>
                <w:szCs w:val="20"/>
              </w:rPr>
              <w:t xml:space="preserve">Дебіторська заборгованість </w:t>
            </w:r>
          </w:p>
        </w:tc>
      </w:tr>
      <w:tr w:rsidR="00806D35" w:rsidRPr="000572AB" w:rsidTr="00D542E2">
        <w:trPr>
          <w:trHeight w:val="57"/>
        </w:trPr>
        <w:tc>
          <w:tcPr>
            <w:tcW w:w="5248" w:type="dxa"/>
            <w:tcBorders>
              <w:top w:val="single" w:sz="4" w:space="0" w:color="auto"/>
              <w:left w:val="single" w:sz="4" w:space="0" w:color="auto"/>
              <w:bottom w:val="single" w:sz="4" w:space="0" w:color="auto"/>
              <w:right w:val="single" w:sz="4" w:space="0" w:color="auto"/>
            </w:tcBorders>
            <w:hideMark/>
          </w:tcPr>
          <w:p w:rsidR="00806D35" w:rsidRPr="000572AB" w:rsidRDefault="00806D35" w:rsidP="00D542E2">
            <w:pPr>
              <w:spacing w:after="0" w:line="240" w:lineRule="auto"/>
              <w:rPr>
                <w:rFonts w:ascii="Times New Roman" w:hAnsi="Times New Roman"/>
                <w:sz w:val="20"/>
                <w:szCs w:val="20"/>
              </w:rPr>
            </w:pPr>
            <w:r w:rsidRPr="000572AB">
              <w:rPr>
                <w:rFonts w:ascii="Times New Roman" w:hAnsi="Times New Roman"/>
                <w:sz w:val="20"/>
                <w:szCs w:val="20"/>
              </w:rPr>
              <w:t xml:space="preserve">Заборгованість по виданим </w:t>
            </w:r>
            <w:r w:rsidR="00A53C31" w:rsidRPr="000572AB">
              <w:rPr>
                <w:rFonts w:ascii="Times New Roman" w:hAnsi="Times New Roman"/>
                <w:sz w:val="20"/>
                <w:szCs w:val="20"/>
              </w:rPr>
              <w:t xml:space="preserve">позикам , в тому числі на умовах фінансового кредиту </w:t>
            </w:r>
          </w:p>
        </w:tc>
        <w:tc>
          <w:tcPr>
            <w:tcW w:w="2412" w:type="dxa"/>
            <w:tcBorders>
              <w:top w:val="single" w:sz="4" w:space="0" w:color="auto"/>
              <w:left w:val="single" w:sz="4" w:space="0" w:color="auto"/>
              <w:bottom w:val="single" w:sz="4" w:space="0" w:color="auto"/>
              <w:right w:val="single" w:sz="4" w:space="0" w:color="auto"/>
            </w:tcBorders>
            <w:vAlign w:val="center"/>
            <w:hideMark/>
          </w:tcPr>
          <w:p w:rsidR="00806D35" w:rsidRPr="000572AB" w:rsidRDefault="00A53C31" w:rsidP="00D542E2">
            <w:pPr>
              <w:spacing w:after="0" w:line="240" w:lineRule="auto"/>
              <w:jc w:val="right"/>
              <w:rPr>
                <w:rFonts w:ascii="Times New Roman" w:hAnsi="Times New Roman"/>
                <w:sz w:val="20"/>
                <w:szCs w:val="20"/>
              </w:rPr>
            </w:pPr>
            <w:r w:rsidRPr="000572AB">
              <w:rPr>
                <w:rFonts w:ascii="Times New Roman" w:hAnsi="Times New Roman"/>
                <w:sz w:val="20"/>
                <w:szCs w:val="20"/>
              </w:rPr>
              <w:t>59 544</w:t>
            </w:r>
          </w:p>
        </w:tc>
        <w:tc>
          <w:tcPr>
            <w:tcW w:w="1696" w:type="dxa"/>
            <w:tcBorders>
              <w:top w:val="single" w:sz="4" w:space="0" w:color="auto"/>
              <w:left w:val="single" w:sz="4" w:space="0" w:color="auto"/>
              <w:bottom w:val="single" w:sz="4" w:space="0" w:color="auto"/>
              <w:right w:val="single" w:sz="4" w:space="0" w:color="auto"/>
            </w:tcBorders>
            <w:vAlign w:val="center"/>
            <w:hideMark/>
          </w:tcPr>
          <w:p w:rsidR="00806D35" w:rsidRPr="000572AB" w:rsidRDefault="00913CCA" w:rsidP="00D542E2">
            <w:pPr>
              <w:spacing w:after="0" w:line="240" w:lineRule="auto"/>
              <w:jc w:val="right"/>
              <w:rPr>
                <w:rFonts w:ascii="Times New Roman" w:hAnsi="Times New Roman"/>
                <w:sz w:val="20"/>
                <w:szCs w:val="20"/>
              </w:rPr>
            </w:pPr>
            <w:r w:rsidRPr="000572AB">
              <w:rPr>
                <w:rFonts w:ascii="Times New Roman" w:hAnsi="Times New Roman"/>
                <w:sz w:val="20"/>
                <w:szCs w:val="20"/>
              </w:rPr>
              <w:t>21</w:t>
            </w:r>
            <w:r w:rsidR="0029203C" w:rsidRPr="000572AB">
              <w:rPr>
                <w:rFonts w:ascii="Times New Roman" w:hAnsi="Times New Roman"/>
                <w:sz w:val="20"/>
                <w:szCs w:val="20"/>
              </w:rPr>
              <w:t xml:space="preserve"> </w:t>
            </w:r>
            <w:r w:rsidR="00AD3CD6" w:rsidRPr="000572AB">
              <w:rPr>
                <w:rFonts w:ascii="Times New Roman" w:hAnsi="Times New Roman"/>
                <w:sz w:val="20"/>
                <w:szCs w:val="20"/>
              </w:rPr>
              <w:t>223</w:t>
            </w:r>
          </w:p>
        </w:tc>
      </w:tr>
      <w:tr w:rsidR="00806D35" w:rsidRPr="000572AB" w:rsidTr="00D542E2">
        <w:trPr>
          <w:trHeight w:val="57"/>
        </w:trPr>
        <w:tc>
          <w:tcPr>
            <w:tcW w:w="9356" w:type="dxa"/>
            <w:gridSpan w:val="3"/>
            <w:tcBorders>
              <w:top w:val="single" w:sz="4" w:space="0" w:color="auto"/>
              <w:left w:val="single" w:sz="4" w:space="0" w:color="auto"/>
              <w:bottom w:val="single" w:sz="4" w:space="0" w:color="auto"/>
              <w:right w:val="single" w:sz="4" w:space="0" w:color="auto"/>
            </w:tcBorders>
            <w:vAlign w:val="center"/>
            <w:hideMark/>
          </w:tcPr>
          <w:p w:rsidR="00806D35" w:rsidRPr="000572AB" w:rsidRDefault="00806D35" w:rsidP="00D542E2">
            <w:pPr>
              <w:spacing w:after="0" w:line="240" w:lineRule="auto"/>
              <w:rPr>
                <w:rFonts w:ascii="Times New Roman" w:hAnsi="Times New Roman"/>
                <w:sz w:val="20"/>
                <w:szCs w:val="20"/>
              </w:rPr>
            </w:pPr>
            <w:r w:rsidRPr="000572AB">
              <w:rPr>
                <w:rFonts w:ascii="Times New Roman" w:hAnsi="Times New Roman"/>
                <w:b/>
                <w:bCs/>
                <w:iCs/>
                <w:sz w:val="20"/>
                <w:szCs w:val="20"/>
              </w:rPr>
              <w:t>Сума знецінення дебіторської заборгованості</w:t>
            </w:r>
          </w:p>
        </w:tc>
      </w:tr>
      <w:tr w:rsidR="00806D35" w:rsidRPr="000572AB" w:rsidTr="00D542E2">
        <w:trPr>
          <w:trHeight w:val="57"/>
        </w:trPr>
        <w:tc>
          <w:tcPr>
            <w:tcW w:w="5248" w:type="dxa"/>
            <w:tcBorders>
              <w:top w:val="single" w:sz="4" w:space="0" w:color="auto"/>
              <w:left w:val="single" w:sz="4" w:space="0" w:color="auto"/>
              <w:bottom w:val="single" w:sz="4" w:space="0" w:color="auto"/>
              <w:right w:val="single" w:sz="4" w:space="0" w:color="auto"/>
            </w:tcBorders>
            <w:hideMark/>
          </w:tcPr>
          <w:p w:rsidR="00806D35" w:rsidRPr="000572AB" w:rsidRDefault="00806D35" w:rsidP="00D542E2">
            <w:pPr>
              <w:spacing w:after="0" w:line="240" w:lineRule="auto"/>
              <w:rPr>
                <w:rFonts w:ascii="Times New Roman" w:hAnsi="Times New Roman"/>
                <w:sz w:val="20"/>
                <w:szCs w:val="20"/>
              </w:rPr>
            </w:pPr>
            <w:r w:rsidRPr="000572AB">
              <w:rPr>
                <w:rFonts w:ascii="Times New Roman" w:hAnsi="Times New Roman"/>
                <w:sz w:val="20"/>
                <w:szCs w:val="20"/>
              </w:rPr>
              <w:t xml:space="preserve">Заборгованість по виданим </w:t>
            </w:r>
            <w:r w:rsidR="00021262" w:rsidRPr="000572AB">
              <w:rPr>
                <w:rFonts w:ascii="Times New Roman" w:hAnsi="Times New Roman"/>
                <w:sz w:val="20"/>
                <w:szCs w:val="20"/>
              </w:rPr>
              <w:t>позикам , в тому числі на умовах фінансового кредиту</w:t>
            </w:r>
          </w:p>
        </w:tc>
        <w:tc>
          <w:tcPr>
            <w:tcW w:w="2412" w:type="dxa"/>
            <w:tcBorders>
              <w:top w:val="single" w:sz="4" w:space="0" w:color="auto"/>
              <w:left w:val="single" w:sz="4" w:space="0" w:color="auto"/>
              <w:bottom w:val="single" w:sz="4" w:space="0" w:color="auto"/>
              <w:right w:val="single" w:sz="4" w:space="0" w:color="auto"/>
            </w:tcBorders>
            <w:vAlign w:val="center"/>
            <w:hideMark/>
          </w:tcPr>
          <w:p w:rsidR="00806D35" w:rsidRPr="000572AB" w:rsidRDefault="00021262" w:rsidP="00D542E2">
            <w:pPr>
              <w:spacing w:after="0" w:line="240" w:lineRule="auto"/>
              <w:jc w:val="right"/>
              <w:rPr>
                <w:rFonts w:ascii="Times New Roman" w:hAnsi="Times New Roman"/>
                <w:sz w:val="20"/>
                <w:szCs w:val="20"/>
              </w:rPr>
            </w:pPr>
            <w:r w:rsidRPr="000572AB">
              <w:rPr>
                <w:rFonts w:ascii="Times New Roman" w:hAnsi="Times New Roman"/>
                <w:sz w:val="20"/>
                <w:szCs w:val="20"/>
              </w:rPr>
              <w:t>-</w:t>
            </w:r>
          </w:p>
        </w:tc>
        <w:tc>
          <w:tcPr>
            <w:tcW w:w="1696" w:type="dxa"/>
            <w:tcBorders>
              <w:top w:val="single" w:sz="4" w:space="0" w:color="auto"/>
              <w:left w:val="single" w:sz="4" w:space="0" w:color="auto"/>
              <w:bottom w:val="single" w:sz="4" w:space="0" w:color="auto"/>
              <w:right w:val="single" w:sz="4" w:space="0" w:color="auto"/>
            </w:tcBorders>
            <w:vAlign w:val="center"/>
            <w:hideMark/>
          </w:tcPr>
          <w:p w:rsidR="00806D35" w:rsidRPr="000572AB" w:rsidRDefault="00806D35" w:rsidP="00D542E2">
            <w:pPr>
              <w:spacing w:after="0" w:line="240" w:lineRule="auto"/>
              <w:jc w:val="right"/>
              <w:rPr>
                <w:rFonts w:ascii="Times New Roman" w:hAnsi="Times New Roman"/>
                <w:sz w:val="20"/>
                <w:szCs w:val="20"/>
              </w:rPr>
            </w:pPr>
            <w:r w:rsidRPr="000572AB">
              <w:rPr>
                <w:rFonts w:ascii="Times New Roman" w:hAnsi="Times New Roman"/>
                <w:sz w:val="20"/>
                <w:szCs w:val="20"/>
              </w:rPr>
              <w:t>(</w:t>
            </w:r>
            <w:r w:rsidR="00021262" w:rsidRPr="000572AB">
              <w:rPr>
                <w:rFonts w:ascii="Times New Roman" w:hAnsi="Times New Roman"/>
                <w:sz w:val="20"/>
                <w:szCs w:val="20"/>
              </w:rPr>
              <w:t>507</w:t>
            </w:r>
            <w:r w:rsidRPr="000572AB">
              <w:rPr>
                <w:rFonts w:ascii="Times New Roman" w:hAnsi="Times New Roman"/>
                <w:sz w:val="20"/>
                <w:szCs w:val="20"/>
              </w:rPr>
              <w:t>)</w:t>
            </w:r>
          </w:p>
        </w:tc>
      </w:tr>
      <w:tr w:rsidR="00806D35" w:rsidRPr="000572AB" w:rsidTr="00D542E2">
        <w:trPr>
          <w:trHeight w:val="57"/>
        </w:trPr>
        <w:tc>
          <w:tcPr>
            <w:tcW w:w="5248" w:type="dxa"/>
            <w:tcBorders>
              <w:top w:val="single" w:sz="4" w:space="0" w:color="auto"/>
              <w:left w:val="single" w:sz="4" w:space="0" w:color="auto"/>
              <w:bottom w:val="single" w:sz="4" w:space="0" w:color="auto"/>
              <w:right w:val="single" w:sz="4" w:space="0" w:color="auto"/>
            </w:tcBorders>
            <w:vAlign w:val="center"/>
            <w:hideMark/>
          </w:tcPr>
          <w:p w:rsidR="00806D35" w:rsidRPr="000572AB" w:rsidRDefault="00806D35" w:rsidP="00D542E2">
            <w:pPr>
              <w:spacing w:after="0" w:line="240" w:lineRule="auto"/>
              <w:rPr>
                <w:rFonts w:ascii="Times New Roman" w:hAnsi="Times New Roman"/>
                <w:b/>
                <w:bCs/>
                <w:sz w:val="20"/>
                <w:szCs w:val="20"/>
              </w:rPr>
            </w:pPr>
            <w:r w:rsidRPr="000572AB">
              <w:rPr>
                <w:rFonts w:ascii="Times New Roman" w:hAnsi="Times New Roman"/>
                <w:b/>
                <w:bCs/>
                <w:sz w:val="20"/>
                <w:szCs w:val="20"/>
              </w:rPr>
              <w:t>Всього</w:t>
            </w:r>
          </w:p>
        </w:tc>
        <w:tc>
          <w:tcPr>
            <w:tcW w:w="2412" w:type="dxa"/>
            <w:tcBorders>
              <w:top w:val="single" w:sz="4" w:space="0" w:color="auto"/>
              <w:left w:val="single" w:sz="4" w:space="0" w:color="auto"/>
              <w:bottom w:val="single" w:sz="4" w:space="0" w:color="auto"/>
              <w:right w:val="single" w:sz="4" w:space="0" w:color="auto"/>
            </w:tcBorders>
            <w:vAlign w:val="center"/>
            <w:hideMark/>
          </w:tcPr>
          <w:p w:rsidR="00806D35" w:rsidRPr="000572AB" w:rsidRDefault="0029203C" w:rsidP="00D542E2">
            <w:pPr>
              <w:spacing w:after="0" w:line="240" w:lineRule="auto"/>
              <w:jc w:val="right"/>
              <w:rPr>
                <w:rFonts w:ascii="Times New Roman" w:hAnsi="Times New Roman"/>
                <w:b/>
                <w:bCs/>
                <w:sz w:val="20"/>
                <w:szCs w:val="20"/>
                <w:lang w:val="ru-RU"/>
              </w:rPr>
            </w:pPr>
            <w:r w:rsidRPr="000572AB">
              <w:rPr>
                <w:rFonts w:ascii="Times New Roman" w:hAnsi="Times New Roman"/>
                <w:b/>
                <w:bCs/>
                <w:sz w:val="20"/>
                <w:szCs w:val="20"/>
                <w:lang w:val="ru-RU"/>
              </w:rPr>
              <w:t>59 544</w:t>
            </w:r>
          </w:p>
        </w:tc>
        <w:tc>
          <w:tcPr>
            <w:tcW w:w="1696" w:type="dxa"/>
            <w:tcBorders>
              <w:top w:val="single" w:sz="4" w:space="0" w:color="auto"/>
              <w:left w:val="single" w:sz="4" w:space="0" w:color="auto"/>
              <w:bottom w:val="single" w:sz="4" w:space="0" w:color="auto"/>
              <w:right w:val="single" w:sz="4" w:space="0" w:color="auto"/>
            </w:tcBorders>
            <w:vAlign w:val="center"/>
            <w:hideMark/>
          </w:tcPr>
          <w:p w:rsidR="00806D35" w:rsidRPr="000572AB" w:rsidRDefault="0029203C" w:rsidP="00D542E2">
            <w:pPr>
              <w:spacing w:after="0" w:line="240" w:lineRule="auto"/>
              <w:jc w:val="right"/>
              <w:rPr>
                <w:rFonts w:ascii="Times New Roman" w:hAnsi="Times New Roman"/>
                <w:b/>
                <w:bCs/>
                <w:sz w:val="20"/>
                <w:szCs w:val="20"/>
                <w:lang w:val="ru-RU"/>
              </w:rPr>
            </w:pPr>
            <w:r w:rsidRPr="000572AB">
              <w:rPr>
                <w:rFonts w:ascii="Times New Roman" w:hAnsi="Times New Roman"/>
                <w:b/>
                <w:bCs/>
                <w:sz w:val="20"/>
                <w:szCs w:val="20"/>
                <w:lang w:val="ru-RU"/>
              </w:rPr>
              <w:t>20 71</w:t>
            </w:r>
            <w:r w:rsidR="00AD3CD6" w:rsidRPr="000572AB">
              <w:rPr>
                <w:rFonts w:ascii="Times New Roman" w:hAnsi="Times New Roman"/>
                <w:b/>
                <w:bCs/>
                <w:sz w:val="20"/>
                <w:szCs w:val="20"/>
                <w:lang w:val="ru-RU"/>
              </w:rPr>
              <w:t>6</w:t>
            </w:r>
          </w:p>
        </w:tc>
      </w:tr>
    </w:tbl>
    <w:p w:rsidR="00806D35" w:rsidRPr="000572AB" w:rsidRDefault="00806D35" w:rsidP="00D542E2">
      <w:pPr>
        <w:spacing w:after="0" w:line="240" w:lineRule="auto"/>
        <w:rPr>
          <w:rFonts w:ascii="Times New Roman" w:hAnsi="Times New Roman"/>
          <w:sz w:val="20"/>
          <w:szCs w:val="20"/>
        </w:rPr>
      </w:pPr>
      <w:bookmarkStart w:id="10" w:name="_3.2.5._Дебіторська_заборгованість"/>
      <w:bookmarkEnd w:id="8"/>
      <w:bookmarkEnd w:id="9"/>
      <w:bookmarkEnd w:id="10"/>
    </w:p>
    <w:p w:rsidR="00AD3CD6" w:rsidRPr="000572AB" w:rsidRDefault="00AD3CD6" w:rsidP="00D542E2">
      <w:pPr>
        <w:tabs>
          <w:tab w:val="left" w:pos="3810"/>
        </w:tabs>
        <w:spacing w:after="0" w:line="240" w:lineRule="auto"/>
        <w:jc w:val="both"/>
        <w:rPr>
          <w:rFonts w:ascii="Times New Roman" w:hAnsi="Times New Roman"/>
          <w:color w:val="000000"/>
          <w:sz w:val="20"/>
          <w:szCs w:val="20"/>
          <w:shd w:val="clear" w:color="auto" w:fill="00FFFF"/>
        </w:rPr>
      </w:pPr>
      <w:bookmarkStart w:id="11" w:name="_3.2.6._Інша_поточна"/>
      <w:bookmarkEnd w:id="11"/>
      <w:r w:rsidRPr="000572AB">
        <w:rPr>
          <w:rFonts w:ascii="Times New Roman" w:hAnsi="Times New Roman"/>
          <w:i/>
          <w:sz w:val="20"/>
          <w:szCs w:val="20"/>
          <w:u w:val="single"/>
        </w:rPr>
        <w:t>Поточні  фінансові інвестиції</w:t>
      </w:r>
      <w:r w:rsidR="003D5FDB" w:rsidRPr="000572AB">
        <w:rPr>
          <w:rFonts w:ascii="Times New Roman" w:hAnsi="Times New Roman"/>
          <w:i/>
          <w:sz w:val="20"/>
          <w:szCs w:val="20"/>
          <w:u w:val="single"/>
        </w:rPr>
        <w:t xml:space="preserve"> </w:t>
      </w:r>
      <w:r w:rsidR="003D5FDB" w:rsidRPr="000572AB">
        <w:rPr>
          <w:rFonts w:ascii="Times New Roman" w:hAnsi="Times New Roman"/>
          <w:sz w:val="20"/>
          <w:szCs w:val="20"/>
        </w:rPr>
        <w:t>Товариства станом на 31.12.2017 року складають 168 976 тис. грн.</w:t>
      </w:r>
      <w:r w:rsidRPr="000572AB">
        <w:rPr>
          <w:rFonts w:ascii="Times New Roman" w:hAnsi="Times New Roman"/>
          <w:i/>
          <w:sz w:val="20"/>
          <w:szCs w:val="20"/>
          <w:u w:val="single"/>
        </w:rPr>
        <w:t xml:space="preserve"> </w:t>
      </w:r>
    </w:p>
    <w:p w:rsidR="00AD3CD6" w:rsidRPr="000572AB" w:rsidRDefault="00AD3CD6" w:rsidP="00D542E2">
      <w:pPr>
        <w:pStyle w:val="33"/>
        <w:spacing w:after="0"/>
        <w:ind w:left="0" w:firstLine="708"/>
        <w:jc w:val="both"/>
        <w:rPr>
          <w:sz w:val="20"/>
          <w:szCs w:val="20"/>
        </w:rPr>
      </w:pPr>
      <w:r w:rsidRPr="000572AB">
        <w:rPr>
          <w:sz w:val="20"/>
          <w:szCs w:val="20"/>
        </w:rPr>
        <w:t>Структура</w:t>
      </w:r>
      <w:r w:rsidR="003C2885" w:rsidRPr="000572AB">
        <w:rPr>
          <w:sz w:val="20"/>
          <w:szCs w:val="20"/>
        </w:rPr>
        <w:t xml:space="preserve"> Поточних фінансових інвестицій </w:t>
      </w:r>
      <w:r w:rsidRPr="000572AB">
        <w:rPr>
          <w:sz w:val="20"/>
          <w:szCs w:val="20"/>
        </w:rPr>
        <w:t>за 2016 - 2017 р</w:t>
      </w:r>
      <w:r w:rsidR="003C2885" w:rsidRPr="000572AB">
        <w:rPr>
          <w:sz w:val="20"/>
          <w:szCs w:val="20"/>
        </w:rPr>
        <w:t>оки</w:t>
      </w:r>
      <w:r w:rsidR="00D542E2" w:rsidRPr="000572AB">
        <w:rPr>
          <w:sz w:val="20"/>
          <w:szCs w:val="20"/>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8"/>
        <w:gridCol w:w="2412"/>
        <w:gridCol w:w="1696"/>
      </w:tblGrid>
      <w:tr w:rsidR="003C2885" w:rsidRPr="000572AB" w:rsidTr="00D542E2">
        <w:trPr>
          <w:trHeight w:val="57"/>
          <w:tblHeader/>
        </w:trPr>
        <w:tc>
          <w:tcPr>
            <w:tcW w:w="5248" w:type="dxa"/>
            <w:shd w:val="clear" w:color="auto" w:fill="auto"/>
            <w:vAlign w:val="center"/>
            <w:hideMark/>
          </w:tcPr>
          <w:p w:rsidR="003C2885" w:rsidRPr="000572AB" w:rsidRDefault="003C2885" w:rsidP="00D542E2">
            <w:pPr>
              <w:spacing w:after="0" w:line="240" w:lineRule="auto"/>
              <w:jc w:val="both"/>
              <w:rPr>
                <w:rFonts w:ascii="Times New Roman" w:hAnsi="Times New Roman"/>
                <w:sz w:val="20"/>
                <w:szCs w:val="20"/>
              </w:rPr>
            </w:pPr>
            <w:r w:rsidRPr="000572AB">
              <w:rPr>
                <w:rFonts w:ascii="Times New Roman" w:hAnsi="Times New Roman"/>
                <w:b/>
                <w:sz w:val="20"/>
                <w:szCs w:val="20"/>
              </w:rPr>
              <w:t>Вид фінансових інвестицій</w:t>
            </w:r>
          </w:p>
        </w:tc>
        <w:tc>
          <w:tcPr>
            <w:tcW w:w="2412" w:type="dxa"/>
            <w:shd w:val="clear" w:color="auto" w:fill="auto"/>
            <w:vAlign w:val="center"/>
            <w:hideMark/>
          </w:tcPr>
          <w:p w:rsidR="003C2885" w:rsidRPr="000572AB" w:rsidRDefault="003C2885" w:rsidP="00D542E2">
            <w:pPr>
              <w:spacing w:after="0" w:line="240" w:lineRule="auto"/>
              <w:jc w:val="center"/>
              <w:rPr>
                <w:rFonts w:ascii="Times New Roman" w:hAnsi="Times New Roman"/>
                <w:b/>
                <w:sz w:val="20"/>
                <w:szCs w:val="20"/>
              </w:rPr>
            </w:pPr>
            <w:r w:rsidRPr="000572AB">
              <w:rPr>
                <w:rFonts w:ascii="Times New Roman" w:hAnsi="Times New Roman"/>
                <w:b/>
                <w:sz w:val="20"/>
                <w:szCs w:val="20"/>
              </w:rPr>
              <w:t>На 31грудня 2016 року, тис. грн.</w:t>
            </w:r>
          </w:p>
        </w:tc>
        <w:tc>
          <w:tcPr>
            <w:tcW w:w="1696" w:type="dxa"/>
            <w:shd w:val="clear" w:color="auto" w:fill="auto"/>
            <w:hideMark/>
          </w:tcPr>
          <w:p w:rsidR="003C2885" w:rsidRPr="000572AB" w:rsidRDefault="003C2885" w:rsidP="00D542E2">
            <w:pPr>
              <w:spacing w:after="0" w:line="240" w:lineRule="auto"/>
              <w:jc w:val="center"/>
              <w:rPr>
                <w:rFonts w:ascii="Times New Roman" w:hAnsi="Times New Roman"/>
                <w:b/>
                <w:sz w:val="20"/>
                <w:szCs w:val="20"/>
              </w:rPr>
            </w:pPr>
            <w:r w:rsidRPr="000572AB">
              <w:rPr>
                <w:rFonts w:ascii="Times New Roman" w:hAnsi="Times New Roman"/>
                <w:b/>
                <w:sz w:val="20"/>
                <w:szCs w:val="20"/>
              </w:rPr>
              <w:t>На 31 грудня 2017 року, тис. грн.</w:t>
            </w:r>
          </w:p>
        </w:tc>
      </w:tr>
      <w:tr w:rsidR="008733B0" w:rsidRPr="000572AB" w:rsidTr="00D542E2">
        <w:trPr>
          <w:trHeight w:val="201"/>
          <w:tblHeader/>
        </w:trPr>
        <w:tc>
          <w:tcPr>
            <w:tcW w:w="5248" w:type="dxa"/>
            <w:shd w:val="clear" w:color="auto" w:fill="auto"/>
            <w:vAlign w:val="center"/>
            <w:hideMark/>
          </w:tcPr>
          <w:p w:rsidR="008733B0" w:rsidRPr="000572AB" w:rsidRDefault="008733B0" w:rsidP="00D542E2">
            <w:pPr>
              <w:spacing w:after="0" w:line="240" w:lineRule="auto"/>
              <w:jc w:val="both"/>
              <w:rPr>
                <w:rFonts w:ascii="Times New Roman" w:hAnsi="Times New Roman"/>
                <w:sz w:val="20"/>
                <w:szCs w:val="20"/>
              </w:rPr>
            </w:pPr>
            <w:r w:rsidRPr="000572AB">
              <w:rPr>
                <w:rFonts w:ascii="Times New Roman" w:hAnsi="Times New Roman"/>
                <w:sz w:val="20"/>
                <w:szCs w:val="20"/>
              </w:rPr>
              <w:t xml:space="preserve">Векселя прості безвідсоткові </w:t>
            </w:r>
          </w:p>
        </w:tc>
        <w:tc>
          <w:tcPr>
            <w:tcW w:w="2412" w:type="dxa"/>
            <w:shd w:val="clear" w:color="auto" w:fill="auto"/>
            <w:vAlign w:val="center"/>
            <w:hideMark/>
          </w:tcPr>
          <w:p w:rsidR="008733B0" w:rsidRPr="000572AB" w:rsidRDefault="008733B0" w:rsidP="00D542E2">
            <w:pPr>
              <w:spacing w:after="0" w:line="240" w:lineRule="auto"/>
              <w:jc w:val="right"/>
              <w:rPr>
                <w:rFonts w:ascii="Times New Roman" w:hAnsi="Times New Roman"/>
                <w:sz w:val="20"/>
                <w:szCs w:val="20"/>
              </w:rPr>
            </w:pPr>
            <w:r w:rsidRPr="000572AB">
              <w:rPr>
                <w:rFonts w:ascii="Times New Roman" w:hAnsi="Times New Roman"/>
                <w:sz w:val="20"/>
                <w:szCs w:val="20"/>
              </w:rPr>
              <w:t>15 460</w:t>
            </w:r>
          </w:p>
        </w:tc>
        <w:tc>
          <w:tcPr>
            <w:tcW w:w="1696" w:type="dxa"/>
            <w:shd w:val="clear" w:color="auto" w:fill="auto"/>
            <w:hideMark/>
          </w:tcPr>
          <w:p w:rsidR="008733B0" w:rsidRPr="000572AB" w:rsidRDefault="008733B0" w:rsidP="00D542E2">
            <w:pPr>
              <w:spacing w:after="0" w:line="240" w:lineRule="auto"/>
              <w:jc w:val="right"/>
              <w:rPr>
                <w:rFonts w:ascii="Times New Roman" w:hAnsi="Times New Roman"/>
                <w:sz w:val="20"/>
                <w:szCs w:val="20"/>
              </w:rPr>
            </w:pPr>
            <w:r w:rsidRPr="000572AB">
              <w:rPr>
                <w:rFonts w:ascii="Times New Roman" w:hAnsi="Times New Roman"/>
                <w:sz w:val="20"/>
                <w:szCs w:val="20"/>
              </w:rPr>
              <w:t>-</w:t>
            </w:r>
          </w:p>
        </w:tc>
      </w:tr>
      <w:tr w:rsidR="008733B0" w:rsidRPr="000572AB" w:rsidTr="00D542E2">
        <w:trPr>
          <w:trHeight w:val="201"/>
          <w:tblHeader/>
        </w:trPr>
        <w:tc>
          <w:tcPr>
            <w:tcW w:w="5248" w:type="dxa"/>
            <w:shd w:val="clear" w:color="auto" w:fill="auto"/>
            <w:vAlign w:val="center"/>
            <w:hideMark/>
          </w:tcPr>
          <w:p w:rsidR="008733B0" w:rsidRPr="000572AB" w:rsidRDefault="008733B0" w:rsidP="00D542E2">
            <w:pPr>
              <w:spacing w:after="0" w:line="240" w:lineRule="auto"/>
              <w:jc w:val="both"/>
              <w:rPr>
                <w:rFonts w:ascii="Times New Roman" w:hAnsi="Times New Roman"/>
                <w:sz w:val="20"/>
                <w:szCs w:val="20"/>
              </w:rPr>
            </w:pPr>
            <w:r w:rsidRPr="000572AB">
              <w:rPr>
                <w:rFonts w:ascii="Times New Roman" w:hAnsi="Times New Roman"/>
                <w:sz w:val="20"/>
                <w:szCs w:val="20"/>
              </w:rPr>
              <w:t>Сертифікати</w:t>
            </w:r>
            <w:r w:rsidRPr="000572AB">
              <w:rPr>
                <w:rFonts w:ascii="Times New Roman" w:hAnsi="Times New Roman"/>
                <w:sz w:val="20"/>
                <w:szCs w:val="20"/>
                <w:lang w:val="en-US"/>
              </w:rPr>
              <w:t xml:space="preserve"> </w:t>
            </w:r>
            <w:r w:rsidRPr="000572AB">
              <w:rPr>
                <w:rFonts w:ascii="Times New Roman" w:hAnsi="Times New Roman"/>
                <w:sz w:val="20"/>
                <w:szCs w:val="20"/>
              </w:rPr>
              <w:t xml:space="preserve">ІСІ </w:t>
            </w:r>
          </w:p>
        </w:tc>
        <w:tc>
          <w:tcPr>
            <w:tcW w:w="2412" w:type="dxa"/>
            <w:shd w:val="clear" w:color="auto" w:fill="auto"/>
            <w:vAlign w:val="center"/>
            <w:hideMark/>
          </w:tcPr>
          <w:p w:rsidR="008733B0" w:rsidRPr="000572AB" w:rsidRDefault="008733B0" w:rsidP="00D542E2">
            <w:pPr>
              <w:spacing w:after="0" w:line="240" w:lineRule="auto"/>
              <w:jc w:val="right"/>
              <w:rPr>
                <w:rFonts w:ascii="Times New Roman" w:hAnsi="Times New Roman"/>
                <w:sz w:val="20"/>
                <w:szCs w:val="20"/>
              </w:rPr>
            </w:pPr>
            <w:r w:rsidRPr="000572AB">
              <w:rPr>
                <w:rFonts w:ascii="Times New Roman" w:hAnsi="Times New Roman"/>
                <w:sz w:val="20"/>
                <w:szCs w:val="20"/>
              </w:rPr>
              <w:t>73 940</w:t>
            </w:r>
          </w:p>
        </w:tc>
        <w:tc>
          <w:tcPr>
            <w:tcW w:w="1696" w:type="dxa"/>
            <w:shd w:val="clear" w:color="auto" w:fill="auto"/>
            <w:hideMark/>
          </w:tcPr>
          <w:p w:rsidR="008733B0" w:rsidRPr="000572AB" w:rsidRDefault="008733B0" w:rsidP="00D542E2">
            <w:pPr>
              <w:spacing w:after="0" w:line="240" w:lineRule="auto"/>
              <w:jc w:val="right"/>
              <w:rPr>
                <w:rFonts w:ascii="Times New Roman" w:hAnsi="Times New Roman"/>
                <w:sz w:val="20"/>
                <w:szCs w:val="20"/>
              </w:rPr>
            </w:pPr>
            <w:r w:rsidRPr="000572AB">
              <w:rPr>
                <w:rFonts w:ascii="Times New Roman" w:hAnsi="Times New Roman"/>
                <w:sz w:val="20"/>
                <w:szCs w:val="20"/>
              </w:rPr>
              <w:t>59 341</w:t>
            </w:r>
          </w:p>
        </w:tc>
      </w:tr>
      <w:tr w:rsidR="008733B0" w:rsidRPr="000572AB" w:rsidTr="00D542E2">
        <w:trPr>
          <w:trHeight w:val="201"/>
          <w:tblHeader/>
        </w:trPr>
        <w:tc>
          <w:tcPr>
            <w:tcW w:w="5248" w:type="dxa"/>
            <w:shd w:val="clear" w:color="auto" w:fill="auto"/>
            <w:vAlign w:val="center"/>
            <w:hideMark/>
          </w:tcPr>
          <w:p w:rsidR="008733B0" w:rsidRPr="000572AB" w:rsidRDefault="008733B0" w:rsidP="00D542E2">
            <w:pPr>
              <w:spacing w:after="0" w:line="240" w:lineRule="auto"/>
              <w:jc w:val="both"/>
              <w:rPr>
                <w:rFonts w:ascii="Times New Roman" w:hAnsi="Times New Roman"/>
                <w:sz w:val="20"/>
                <w:szCs w:val="20"/>
              </w:rPr>
            </w:pPr>
            <w:r w:rsidRPr="000572AB">
              <w:rPr>
                <w:rFonts w:ascii="Times New Roman" w:hAnsi="Times New Roman"/>
                <w:sz w:val="20"/>
                <w:szCs w:val="20"/>
              </w:rPr>
              <w:t>Акції прості іменні</w:t>
            </w:r>
          </w:p>
        </w:tc>
        <w:tc>
          <w:tcPr>
            <w:tcW w:w="2412" w:type="dxa"/>
            <w:shd w:val="clear" w:color="auto" w:fill="auto"/>
            <w:vAlign w:val="center"/>
            <w:hideMark/>
          </w:tcPr>
          <w:p w:rsidR="008733B0" w:rsidRPr="000572AB" w:rsidRDefault="008733B0" w:rsidP="00D542E2">
            <w:pPr>
              <w:spacing w:after="0" w:line="240" w:lineRule="auto"/>
              <w:jc w:val="right"/>
              <w:rPr>
                <w:rFonts w:ascii="Times New Roman" w:hAnsi="Times New Roman"/>
                <w:sz w:val="20"/>
                <w:szCs w:val="20"/>
              </w:rPr>
            </w:pPr>
            <w:r w:rsidRPr="000572AB">
              <w:rPr>
                <w:rFonts w:ascii="Times New Roman" w:hAnsi="Times New Roman"/>
                <w:sz w:val="20"/>
                <w:szCs w:val="20"/>
              </w:rPr>
              <w:t>64 991</w:t>
            </w:r>
          </w:p>
        </w:tc>
        <w:tc>
          <w:tcPr>
            <w:tcW w:w="1696" w:type="dxa"/>
            <w:shd w:val="clear" w:color="auto" w:fill="auto"/>
            <w:hideMark/>
          </w:tcPr>
          <w:p w:rsidR="008733B0" w:rsidRPr="000572AB" w:rsidRDefault="008733B0" w:rsidP="00D542E2">
            <w:pPr>
              <w:spacing w:after="0" w:line="240" w:lineRule="auto"/>
              <w:jc w:val="right"/>
              <w:rPr>
                <w:rFonts w:ascii="Times New Roman" w:hAnsi="Times New Roman"/>
                <w:sz w:val="20"/>
                <w:szCs w:val="20"/>
              </w:rPr>
            </w:pPr>
            <w:r w:rsidRPr="000572AB">
              <w:rPr>
                <w:rFonts w:ascii="Times New Roman" w:hAnsi="Times New Roman"/>
                <w:sz w:val="20"/>
                <w:szCs w:val="20"/>
              </w:rPr>
              <w:t>5 404</w:t>
            </w:r>
          </w:p>
        </w:tc>
      </w:tr>
      <w:tr w:rsidR="008733B0" w:rsidRPr="000572AB" w:rsidTr="00D542E2">
        <w:trPr>
          <w:trHeight w:val="201"/>
          <w:tblHeader/>
        </w:trPr>
        <w:tc>
          <w:tcPr>
            <w:tcW w:w="5248" w:type="dxa"/>
            <w:shd w:val="clear" w:color="auto" w:fill="auto"/>
            <w:vAlign w:val="center"/>
            <w:hideMark/>
          </w:tcPr>
          <w:p w:rsidR="008733B0" w:rsidRPr="000572AB" w:rsidRDefault="008733B0" w:rsidP="00D542E2">
            <w:pPr>
              <w:spacing w:after="0" w:line="240" w:lineRule="auto"/>
              <w:jc w:val="both"/>
              <w:rPr>
                <w:rFonts w:ascii="Times New Roman" w:hAnsi="Times New Roman"/>
                <w:sz w:val="20"/>
                <w:szCs w:val="20"/>
              </w:rPr>
            </w:pPr>
            <w:r w:rsidRPr="000572AB">
              <w:rPr>
                <w:rFonts w:ascii="Times New Roman" w:hAnsi="Times New Roman"/>
                <w:sz w:val="20"/>
                <w:szCs w:val="20"/>
              </w:rPr>
              <w:t xml:space="preserve">Частка в статутному капіталі ТОВ «УКРАЇНСЬКА ПРАВНИЧА КОМПАНІЯ» </w:t>
            </w:r>
          </w:p>
        </w:tc>
        <w:tc>
          <w:tcPr>
            <w:tcW w:w="2412" w:type="dxa"/>
            <w:shd w:val="clear" w:color="auto" w:fill="auto"/>
            <w:vAlign w:val="center"/>
            <w:hideMark/>
          </w:tcPr>
          <w:p w:rsidR="008733B0" w:rsidRPr="000572AB" w:rsidRDefault="008733B0" w:rsidP="00D542E2">
            <w:pPr>
              <w:spacing w:after="0" w:line="240" w:lineRule="auto"/>
              <w:jc w:val="right"/>
              <w:rPr>
                <w:rFonts w:ascii="Times New Roman" w:hAnsi="Times New Roman"/>
                <w:sz w:val="20"/>
                <w:szCs w:val="20"/>
              </w:rPr>
            </w:pPr>
            <w:r w:rsidRPr="000572AB">
              <w:rPr>
                <w:rFonts w:ascii="Times New Roman" w:hAnsi="Times New Roman"/>
                <w:sz w:val="20"/>
                <w:szCs w:val="20"/>
              </w:rPr>
              <w:t>104 185</w:t>
            </w:r>
          </w:p>
        </w:tc>
        <w:tc>
          <w:tcPr>
            <w:tcW w:w="1696" w:type="dxa"/>
            <w:shd w:val="clear" w:color="auto" w:fill="auto"/>
            <w:hideMark/>
          </w:tcPr>
          <w:p w:rsidR="008733B0" w:rsidRPr="000572AB" w:rsidRDefault="008733B0" w:rsidP="00D542E2">
            <w:pPr>
              <w:spacing w:after="0" w:line="240" w:lineRule="auto"/>
              <w:jc w:val="right"/>
              <w:rPr>
                <w:rFonts w:ascii="Times New Roman" w:hAnsi="Times New Roman"/>
                <w:sz w:val="20"/>
                <w:szCs w:val="20"/>
              </w:rPr>
            </w:pPr>
            <w:r w:rsidRPr="000572AB">
              <w:rPr>
                <w:rFonts w:ascii="Times New Roman" w:hAnsi="Times New Roman"/>
                <w:sz w:val="20"/>
                <w:szCs w:val="20"/>
              </w:rPr>
              <w:t>104 185</w:t>
            </w:r>
          </w:p>
        </w:tc>
      </w:tr>
      <w:tr w:rsidR="008733B0" w:rsidRPr="000572AB" w:rsidTr="00D542E2">
        <w:trPr>
          <w:trHeight w:val="201"/>
          <w:tblHeader/>
        </w:trPr>
        <w:tc>
          <w:tcPr>
            <w:tcW w:w="5248" w:type="dxa"/>
            <w:shd w:val="clear" w:color="auto" w:fill="auto"/>
            <w:vAlign w:val="center"/>
            <w:hideMark/>
          </w:tcPr>
          <w:p w:rsidR="008733B0" w:rsidRPr="000572AB" w:rsidRDefault="008733B0" w:rsidP="00D542E2">
            <w:pPr>
              <w:spacing w:after="0" w:line="240" w:lineRule="auto"/>
              <w:jc w:val="both"/>
              <w:rPr>
                <w:rFonts w:ascii="Times New Roman" w:hAnsi="Times New Roman"/>
                <w:sz w:val="20"/>
                <w:szCs w:val="20"/>
              </w:rPr>
            </w:pPr>
            <w:r w:rsidRPr="000572AB">
              <w:rPr>
                <w:rFonts w:ascii="Times New Roman" w:hAnsi="Times New Roman"/>
                <w:sz w:val="20"/>
                <w:szCs w:val="20"/>
              </w:rPr>
              <w:t xml:space="preserve">Частка в статутному капіталі ТОВ «Кредо-Інвест» </w:t>
            </w:r>
          </w:p>
        </w:tc>
        <w:tc>
          <w:tcPr>
            <w:tcW w:w="2412" w:type="dxa"/>
            <w:shd w:val="clear" w:color="auto" w:fill="auto"/>
            <w:vAlign w:val="center"/>
            <w:hideMark/>
          </w:tcPr>
          <w:p w:rsidR="008733B0" w:rsidRPr="000572AB" w:rsidRDefault="008733B0" w:rsidP="00D542E2">
            <w:pPr>
              <w:spacing w:after="0" w:line="240" w:lineRule="auto"/>
              <w:jc w:val="right"/>
              <w:rPr>
                <w:rFonts w:ascii="Times New Roman" w:hAnsi="Times New Roman"/>
                <w:sz w:val="20"/>
                <w:szCs w:val="20"/>
              </w:rPr>
            </w:pPr>
            <w:r w:rsidRPr="000572AB">
              <w:rPr>
                <w:rFonts w:ascii="Times New Roman" w:hAnsi="Times New Roman"/>
                <w:sz w:val="20"/>
                <w:szCs w:val="20"/>
              </w:rPr>
              <w:t>-</w:t>
            </w:r>
          </w:p>
        </w:tc>
        <w:tc>
          <w:tcPr>
            <w:tcW w:w="1696" w:type="dxa"/>
            <w:shd w:val="clear" w:color="auto" w:fill="auto"/>
            <w:hideMark/>
          </w:tcPr>
          <w:p w:rsidR="008733B0" w:rsidRPr="000572AB" w:rsidRDefault="008733B0" w:rsidP="00D542E2">
            <w:pPr>
              <w:spacing w:after="0" w:line="240" w:lineRule="auto"/>
              <w:jc w:val="right"/>
              <w:rPr>
                <w:rFonts w:ascii="Times New Roman" w:hAnsi="Times New Roman"/>
                <w:sz w:val="20"/>
                <w:szCs w:val="20"/>
              </w:rPr>
            </w:pPr>
            <w:r w:rsidRPr="000572AB">
              <w:rPr>
                <w:rFonts w:ascii="Times New Roman" w:hAnsi="Times New Roman"/>
                <w:sz w:val="20"/>
                <w:szCs w:val="20"/>
              </w:rPr>
              <w:t>46</w:t>
            </w:r>
          </w:p>
        </w:tc>
      </w:tr>
      <w:tr w:rsidR="003C2885" w:rsidRPr="000572AB" w:rsidTr="00D542E2">
        <w:trPr>
          <w:trHeight w:val="57"/>
        </w:trPr>
        <w:tc>
          <w:tcPr>
            <w:tcW w:w="5248" w:type="dxa"/>
            <w:shd w:val="clear" w:color="auto" w:fill="auto"/>
            <w:vAlign w:val="center"/>
            <w:hideMark/>
          </w:tcPr>
          <w:p w:rsidR="003C2885" w:rsidRPr="000572AB" w:rsidRDefault="003C2885" w:rsidP="00D542E2">
            <w:pPr>
              <w:suppressAutoHyphens/>
              <w:autoSpaceDE w:val="0"/>
              <w:autoSpaceDN w:val="0"/>
              <w:adjustRightInd w:val="0"/>
              <w:spacing w:after="0" w:line="240" w:lineRule="auto"/>
              <w:rPr>
                <w:rFonts w:ascii="Times New Roman" w:hAnsi="Times New Roman"/>
                <w:sz w:val="20"/>
                <w:szCs w:val="20"/>
              </w:rPr>
            </w:pPr>
            <w:r w:rsidRPr="000572AB">
              <w:rPr>
                <w:rFonts w:ascii="Times New Roman" w:hAnsi="Times New Roman"/>
                <w:b/>
                <w:bCs/>
                <w:sz w:val="20"/>
                <w:szCs w:val="20"/>
              </w:rPr>
              <w:t>Всього</w:t>
            </w:r>
          </w:p>
        </w:tc>
        <w:tc>
          <w:tcPr>
            <w:tcW w:w="2412" w:type="dxa"/>
            <w:shd w:val="clear" w:color="auto" w:fill="auto"/>
            <w:vAlign w:val="center"/>
            <w:hideMark/>
          </w:tcPr>
          <w:p w:rsidR="003C2885" w:rsidRPr="000572AB" w:rsidRDefault="003C2885" w:rsidP="00D542E2">
            <w:pPr>
              <w:spacing w:after="0" w:line="240" w:lineRule="auto"/>
              <w:jc w:val="right"/>
              <w:rPr>
                <w:rFonts w:ascii="Times New Roman" w:hAnsi="Times New Roman"/>
                <w:b/>
                <w:bCs/>
                <w:sz w:val="20"/>
                <w:szCs w:val="20"/>
              </w:rPr>
            </w:pPr>
            <w:r w:rsidRPr="000572AB">
              <w:rPr>
                <w:rFonts w:ascii="Times New Roman" w:hAnsi="Times New Roman"/>
                <w:b/>
                <w:bCs/>
                <w:sz w:val="20"/>
                <w:szCs w:val="20"/>
              </w:rPr>
              <w:t>258 577</w:t>
            </w:r>
          </w:p>
        </w:tc>
        <w:tc>
          <w:tcPr>
            <w:tcW w:w="1696" w:type="dxa"/>
            <w:shd w:val="clear" w:color="auto" w:fill="auto"/>
            <w:vAlign w:val="center"/>
            <w:hideMark/>
          </w:tcPr>
          <w:p w:rsidR="003C2885" w:rsidRPr="000572AB" w:rsidRDefault="003C2885" w:rsidP="00D542E2">
            <w:pPr>
              <w:spacing w:after="0" w:line="240" w:lineRule="auto"/>
              <w:jc w:val="right"/>
              <w:rPr>
                <w:rFonts w:ascii="Times New Roman" w:hAnsi="Times New Roman"/>
                <w:b/>
                <w:bCs/>
                <w:sz w:val="20"/>
                <w:szCs w:val="20"/>
              </w:rPr>
            </w:pPr>
            <w:r w:rsidRPr="000572AB">
              <w:rPr>
                <w:rFonts w:ascii="Times New Roman" w:hAnsi="Times New Roman"/>
                <w:b/>
                <w:bCs/>
                <w:sz w:val="20"/>
                <w:szCs w:val="20"/>
              </w:rPr>
              <w:t>168 976</w:t>
            </w:r>
          </w:p>
        </w:tc>
      </w:tr>
    </w:tbl>
    <w:p w:rsidR="003D5FDB" w:rsidRPr="000572AB" w:rsidRDefault="008733B0" w:rsidP="00D542E2">
      <w:pPr>
        <w:pStyle w:val="3"/>
        <w:numPr>
          <w:ilvl w:val="0"/>
          <w:numId w:val="0"/>
        </w:numPr>
        <w:spacing w:before="0"/>
        <w:ind w:firstLine="709"/>
        <w:contextualSpacing/>
        <w:jc w:val="both"/>
        <w:rPr>
          <w:i w:val="0"/>
          <w:sz w:val="20"/>
          <w:szCs w:val="20"/>
          <w:lang w:val="uk-UA"/>
        </w:rPr>
      </w:pPr>
      <w:r w:rsidRPr="000572AB">
        <w:rPr>
          <w:i w:val="0"/>
          <w:sz w:val="20"/>
          <w:szCs w:val="20"/>
          <w:lang w:val="uk-UA"/>
        </w:rPr>
        <w:t>Вищевказані фінансові інвестиції призначені для продажу і обліковуються за справедливою вартістю з віднесенн</w:t>
      </w:r>
      <w:r w:rsidR="00D542E2" w:rsidRPr="000572AB">
        <w:rPr>
          <w:i w:val="0"/>
          <w:sz w:val="20"/>
          <w:szCs w:val="20"/>
          <w:lang w:val="uk-UA"/>
        </w:rPr>
        <w:t>ям</w:t>
      </w:r>
      <w:r w:rsidRPr="000572AB">
        <w:rPr>
          <w:i w:val="0"/>
          <w:sz w:val="20"/>
          <w:szCs w:val="20"/>
          <w:lang w:val="uk-UA"/>
        </w:rPr>
        <w:t xml:space="preserve"> їх змін на прибуток або збиток. З огляду на те, що зміни</w:t>
      </w:r>
      <w:r w:rsidR="00D542E2" w:rsidRPr="000572AB">
        <w:rPr>
          <w:i w:val="0"/>
          <w:sz w:val="20"/>
          <w:szCs w:val="20"/>
          <w:lang w:val="uk-UA"/>
        </w:rPr>
        <w:t xml:space="preserve"> справедливої вартості інвестицій на дату балансу не перевищують межу суттєвості, переоцінка інвестицій Товариством не провадилась.  </w:t>
      </w:r>
    </w:p>
    <w:p w:rsidR="00D542E2" w:rsidRPr="000572AB" w:rsidRDefault="00D542E2" w:rsidP="00D542E2">
      <w:pPr>
        <w:pStyle w:val="3"/>
        <w:numPr>
          <w:ilvl w:val="0"/>
          <w:numId w:val="0"/>
        </w:numPr>
        <w:spacing w:before="0"/>
        <w:ind w:firstLine="709"/>
        <w:contextualSpacing/>
        <w:jc w:val="both"/>
        <w:rPr>
          <w:b/>
          <w:i w:val="0"/>
          <w:sz w:val="20"/>
          <w:szCs w:val="20"/>
          <w:lang w:val="uk-UA"/>
        </w:rPr>
      </w:pPr>
    </w:p>
    <w:p w:rsidR="00637BA4" w:rsidRPr="000572AB" w:rsidRDefault="00C00920" w:rsidP="00D542E2">
      <w:pPr>
        <w:pStyle w:val="3"/>
        <w:numPr>
          <w:ilvl w:val="0"/>
          <w:numId w:val="0"/>
        </w:numPr>
        <w:spacing w:before="0"/>
        <w:ind w:firstLine="709"/>
        <w:contextualSpacing/>
        <w:jc w:val="both"/>
        <w:rPr>
          <w:b/>
          <w:i w:val="0"/>
          <w:sz w:val="20"/>
          <w:szCs w:val="20"/>
          <w:lang w:val="uk-UA"/>
        </w:rPr>
      </w:pPr>
      <w:r w:rsidRPr="000572AB">
        <w:rPr>
          <w:b/>
          <w:i w:val="0"/>
          <w:sz w:val="20"/>
          <w:szCs w:val="20"/>
          <w:lang w:val="uk-UA"/>
        </w:rPr>
        <w:t>18</w:t>
      </w:r>
      <w:r w:rsidR="0053252C" w:rsidRPr="000572AB">
        <w:rPr>
          <w:b/>
          <w:i w:val="0"/>
          <w:sz w:val="20"/>
          <w:szCs w:val="20"/>
          <w:lang w:val="uk-UA"/>
        </w:rPr>
        <w:t>.5</w:t>
      </w:r>
      <w:r w:rsidR="00637BA4" w:rsidRPr="000572AB">
        <w:rPr>
          <w:b/>
          <w:i w:val="0"/>
          <w:sz w:val="20"/>
          <w:szCs w:val="20"/>
          <w:lang w:val="uk-UA"/>
        </w:rPr>
        <w:t>. Грошові кошти та їх еквіваленти</w:t>
      </w:r>
    </w:p>
    <w:p w:rsidR="00637BA4" w:rsidRPr="000572AB" w:rsidRDefault="00637BA4" w:rsidP="00D542E2">
      <w:pPr>
        <w:pStyle w:val="a2"/>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Грошо</w:t>
      </w:r>
      <w:r w:rsidR="0053252C" w:rsidRPr="000572AB">
        <w:rPr>
          <w:rFonts w:ascii="Times New Roman" w:hAnsi="Times New Roman"/>
          <w:sz w:val="20"/>
          <w:szCs w:val="20"/>
        </w:rPr>
        <w:t>ві кошти за станом на 31.12.201</w:t>
      </w:r>
      <w:r w:rsidR="00B435E8" w:rsidRPr="000572AB">
        <w:rPr>
          <w:rFonts w:ascii="Times New Roman" w:hAnsi="Times New Roman"/>
          <w:sz w:val="20"/>
          <w:szCs w:val="20"/>
        </w:rPr>
        <w:t>7</w:t>
      </w:r>
      <w:r w:rsidRPr="000572AB">
        <w:rPr>
          <w:rFonts w:ascii="Times New Roman" w:hAnsi="Times New Roman"/>
          <w:sz w:val="20"/>
          <w:szCs w:val="20"/>
        </w:rPr>
        <w:t xml:space="preserve"> р. зберігаються на банківських рахунках Товариства. Облік грошових коштів і розрахунків здійснюється згідно «Положення про ведення касових операцій у національній валюті», затвердженого постановою Правління НБУ від 15.12.2004 р. № 637. </w:t>
      </w:r>
    </w:p>
    <w:p w:rsidR="00637BA4" w:rsidRPr="000572AB" w:rsidRDefault="00637BA4" w:rsidP="00D542E2">
      <w:pPr>
        <w:pStyle w:val="a2"/>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 xml:space="preserve">Грошові кошти, які зберігаються на </w:t>
      </w:r>
      <w:r w:rsidR="00583FDD" w:rsidRPr="000572AB">
        <w:rPr>
          <w:rFonts w:ascii="Times New Roman" w:hAnsi="Times New Roman"/>
          <w:sz w:val="20"/>
          <w:szCs w:val="20"/>
        </w:rPr>
        <w:t xml:space="preserve">поточних </w:t>
      </w:r>
      <w:r w:rsidRPr="000572AB">
        <w:rPr>
          <w:rFonts w:ascii="Times New Roman" w:hAnsi="Times New Roman"/>
          <w:sz w:val="20"/>
          <w:szCs w:val="20"/>
        </w:rPr>
        <w:t>банківських рахунках</w:t>
      </w:r>
      <w:r w:rsidR="0053252C" w:rsidRPr="000572AB">
        <w:rPr>
          <w:rFonts w:ascii="Times New Roman" w:hAnsi="Times New Roman"/>
          <w:sz w:val="20"/>
          <w:szCs w:val="20"/>
        </w:rPr>
        <w:t xml:space="preserve"> Товариства станом на 31.12.201</w:t>
      </w:r>
      <w:r w:rsidR="00B435E8" w:rsidRPr="000572AB">
        <w:rPr>
          <w:rFonts w:ascii="Times New Roman" w:hAnsi="Times New Roman"/>
          <w:sz w:val="20"/>
          <w:szCs w:val="20"/>
        </w:rPr>
        <w:t>7</w:t>
      </w:r>
      <w:r w:rsidRPr="000572AB">
        <w:rPr>
          <w:rFonts w:ascii="Times New Roman" w:hAnsi="Times New Roman"/>
          <w:sz w:val="20"/>
          <w:szCs w:val="20"/>
        </w:rPr>
        <w:t xml:space="preserve"> р. становлять </w:t>
      </w:r>
      <w:r w:rsidR="00C00920" w:rsidRPr="000572AB">
        <w:rPr>
          <w:rFonts w:ascii="Times New Roman" w:hAnsi="Times New Roman"/>
          <w:sz w:val="20"/>
          <w:szCs w:val="20"/>
        </w:rPr>
        <w:t>27</w:t>
      </w:r>
      <w:r w:rsidR="00C7029D" w:rsidRPr="000572AB">
        <w:rPr>
          <w:rFonts w:ascii="Times New Roman" w:hAnsi="Times New Roman"/>
          <w:sz w:val="20"/>
          <w:szCs w:val="20"/>
        </w:rPr>
        <w:t xml:space="preserve"> </w:t>
      </w:r>
      <w:r w:rsidRPr="000572AB">
        <w:rPr>
          <w:rFonts w:ascii="Times New Roman" w:hAnsi="Times New Roman"/>
          <w:sz w:val="20"/>
          <w:szCs w:val="20"/>
        </w:rPr>
        <w:t xml:space="preserve"> тис. грн.</w:t>
      </w:r>
    </w:p>
    <w:p w:rsidR="009F2214" w:rsidRPr="000572AB" w:rsidRDefault="009F2214" w:rsidP="00D542E2">
      <w:pPr>
        <w:pStyle w:val="a2"/>
        <w:spacing w:after="0" w:line="240" w:lineRule="auto"/>
        <w:ind w:firstLine="555"/>
        <w:jc w:val="both"/>
        <w:rPr>
          <w:rFonts w:ascii="Times New Roman" w:hAnsi="Times New Roman"/>
          <w:sz w:val="20"/>
          <w:szCs w:val="20"/>
        </w:rPr>
      </w:pPr>
      <w:r w:rsidRPr="000572AB">
        <w:rPr>
          <w:rFonts w:ascii="Times New Roman" w:hAnsi="Times New Roman"/>
          <w:sz w:val="20"/>
          <w:szCs w:val="20"/>
        </w:rPr>
        <w:t xml:space="preserve">Обмеження права </w:t>
      </w:r>
      <w:r w:rsidR="00B853E9" w:rsidRPr="000572AB">
        <w:rPr>
          <w:rFonts w:ascii="Times New Roman" w:hAnsi="Times New Roman"/>
          <w:sz w:val="20"/>
          <w:szCs w:val="20"/>
        </w:rPr>
        <w:t>Товариств</w:t>
      </w:r>
      <w:r w:rsidR="0066465E" w:rsidRPr="000572AB">
        <w:rPr>
          <w:rFonts w:ascii="Times New Roman" w:hAnsi="Times New Roman"/>
          <w:sz w:val="20"/>
          <w:szCs w:val="20"/>
        </w:rPr>
        <w:t>а</w:t>
      </w:r>
      <w:r w:rsidRPr="000572AB">
        <w:rPr>
          <w:rFonts w:ascii="Times New Roman" w:hAnsi="Times New Roman"/>
          <w:sz w:val="20"/>
          <w:szCs w:val="20"/>
        </w:rPr>
        <w:t xml:space="preserve"> на корис</w:t>
      </w:r>
      <w:r w:rsidR="00985A46" w:rsidRPr="000572AB">
        <w:rPr>
          <w:rFonts w:ascii="Times New Roman" w:hAnsi="Times New Roman"/>
          <w:sz w:val="20"/>
          <w:szCs w:val="20"/>
        </w:rPr>
        <w:t>тування грошовими коштами у 201</w:t>
      </w:r>
      <w:r w:rsidR="00B435E8" w:rsidRPr="000572AB">
        <w:rPr>
          <w:rFonts w:ascii="Times New Roman" w:hAnsi="Times New Roman"/>
          <w:sz w:val="20"/>
          <w:szCs w:val="20"/>
        </w:rPr>
        <w:t>7</w:t>
      </w:r>
      <w:r w:rsidRPr="000572AB">
        <w:rPr>
          <w:rFonts w:ascii="Times New Roman" w:hAnsi="Times New Roman"/>
          <w:sz w:val="20"/>
          <w:szCs w:val="20"/>
        </w:rPr>
        <w:t xml:space="preserve"> році відсутні.</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3"/>
        <w:gridCol w:w="1982"/>
        <w:gridCol w:w="2126"/>
      </w:tblGrid>
      <w:tr w:rsidR="00806D35" w:rsidRPr="000572AB" w:rsidTr="00D542E2">
        <w:trPr>
          <w:trHeight w:val="523"/>
          <w:tblHeader/>
        </w:trPr>
        <w:tc>
          <w:tcPr>
            <w:tcW w:w="5263" w:type="dxa"/>
            <w:tcBorders>
              <w:top w:val="single" w:sz="4" w:space="0" w:color="auto"/>
              <w:left w:val="single" w:sz="4" w:space="0" w:color="auto"/>
              <w:bottom w:val="single" w:sz="4" w:space="0" w:color="auto"/>
              <w:right w:val="single" w:sz="4" w:space="0" w:color="auto"/>
            </w:tcBorders>
            <w:vAlign w:val="center"/>
            <w:hideMark/>
          </w:tcPr>
          <w:p w:rsidR="00806D35" w:rsidRPr="000572AB" w:rsidRDefault="00806D35" w:rsidP="00D542E2">
            <w:pPr>
              <w:spacing w:after="0" w:line="240" w:lineRule="auto"/>
              <w:rPr>
                <w:rFonts w:ascii="Times New Roman" w:hAnsi="Times New Roman"/>
                <w:b/>
                <w:bCs/>
                <w:sz w:val="20"/>
                <w:szCs w:val="20"/>
              </w:rPr>
            </w:pPr>
            <w:r w:rsidRPr="000572AB">
              <w:rPr>
                <w:rFonts w:ascii="Times New Roman" w:hAnsi="Times New Roman"/>
                <w:b/>
                <w:bCs/>
                <w:sz w:val="20"/>
                <w:szCs w:val="20"/>
              </w:rPr>
              <w:t>Грошові кошти</w:t>
            </w:r>
          </w:p>
        </w:tc>
        <w:tc>
          <w:tcPr>
            <w:tcW w:w="1982" w:type="dxa"/>
            <w:tcBorders>
              <w:top w:val="single" w:sz="4" w:space="0" w:color="auto"/>
              <w:left w:val="single" w:sz="4" w:space="0" w:color="auto"/>
              <w:bottom w:val="single" w:sz="4" w:space="0" w:color="auto"/>
              <w:right w:val="single" w:sz="4" w:space="0" w:color="auto"/>
            </w:tcBorders>
            <w:vAlign w:val="center"/>
            <w:hideMark/>
          </w:tcPr>
          <w:p w:rsidR="00806D35" w:rsidRPr="000572AB" w:rsidRDefault="00806D35" w:rsidP="00D542E2">
            <w:pPr>
              <w:spacing w:after="0" w:line="240" w:lineRule="auto"/>
              <w:jc w:val="center"/>
              <w:rPr>
                <w:rFonts w:ascii="Times New Roman" w:hAnsi="Times New Roman"/>
                <w:b/>
                <w:sz w:val="20"/>
                <w:szCs w:val="20"/>
              </w:rPr>
            </w:pPr>
            <w:r w:rsidRPr="000572AB">
              <w:rPr>
                <w:rFonts w:ascii="Times New Roman" w:hAnsi="Times New Roman"/>
                <w:b/>
                <w:sz w:val="20"/>
                <w:szCs w:val="20"/>
              </w:rPr>
              <w:t>На 31грудня 2016 року, тис. грн.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D35" w:rsidRPr="000572AB" w:rsidRDefault="00806D35" w:rsidP="00D542E2">
            <w:pPr>
              <w:spacing w:after="0" w:line="240" w:lineRule="auto"/>
              <w:jc w:val="center"/>
              <w:rPr>
                <w:rFonts w:ascii="Times New Roman" w:hAnsi="Times New Roman"/>
                <w:b/>
                <w:sz w:val="20"/>
                <w:szCs w:val="20"/>
              </w:rPr>
            </w:pPr>
            <w:r w:rsidRPr="000572AB">
              <w:rPr>
                <w:rFonts w:ascii="Times New Roman" w:hAnsi="Times New Roman"/>
                <w:b/>
                <w:sz w:val="20"/>
                <w:szCs w:val="20"/>
              </w:rPr>
              <w:t>На 31 грудня 2017 року, тис. грн.</w:t>
            </w:r>
          </w:p>
        </w:tc>
      </w:tr>
      <w:tr w:rsidR="00806D35" w:rsidRPr="000572AB" w:rsidTr="00D542E2">
        <w:trPr>
          <w:trHeight w:val="255"/>
        </w:trPr>
        <w:tc>
          <w:tcPr>
            <w:tcW w:w="5263" w:type="dxa"/>
            <w:tcBorders>
              <w:top w:val="single" w:sz="4" w:space="0" w:color="auto"/>
              <w:left w:val="single" w:sz="4" w:space="0" w:color="auto"/>
              <w:bottom w:val="single" w:sz="4" w:space="0" w:color="auto"/>
              <w:right w:val="single" w:sz="4" w:space="0" w:color="auto"/>
            </w:tcBorders>
            <w:noWrap/>
            <w:vAlign w:val="center"/>
            <w:hideMark/>
          </w:tcPr>
          <w:p w:rsidR="00806D35" w:rsidRPr="000572AB" w:rsidRDefault="00806D35" w:rsidP="00D542E2">
            <w:pPr>
              <w:spacing w:after="0" w:line="240" w:lineRule="auto"/>
              <w:rPr>
                <w:rFonts w:ascii="Times New Roman" w:hAnsi="Times New Roman"/>
                <w:sz w:val="20"/>
                <w:szCs w:val="20"/>
              </w:rPr>
            </w:pPr>
            <w:r w:rsidRPr="000572AB">
              <w:rPr>
                <w:rFonts w:ascii="Times New Roman" w:hAnsi="Times New Roman"/>
                <w:sz w:val="20"/>
                <w:szCs w:val="20"/>
              </w:rPr>
              <w:t>На рахунку в банку</w:t>
            </w:r>
          </w:p>
        </w:tc>
        <w:tc>
          <w:tcPr>
            <w:tcW w:w="1982" w:type="dxa"/>
            <w:tcBorders>
              <w:top w:val="single" w:sz="4" w:space="0" w:color="auto"/>
              <w:left w:val="single" w:sz="4" w:space="0" w:color="auto"/>
              <w:bottom w:val="single" w:sz="4" w:space="0" w:color="auto"/>
              <w:right w:val="single" w:sz="4" w:space="0" w:color="auto"/>
            </w:tcBorders>
            <w:vAlign w:val="center"/>
            <w:hideMark/>
          </w:tcPr>
          <w:p w:rsidR="00806D35" w:rsidRPr="000572AB" w:rsidRDefault="00C00920" w:rsidP="00D542E2">
            <w:pPr>
              <w:spacing w:after="0" w:line="240" w:lineRule="auto"/>
              <w:jc w:val="right"/>
              <w:rPr>
                <w:rFonts w:ascii="Times New Roman" w:hAnsi="Times New Roman"/>
                <w:sz w:val="20"/>
                <w:szCs w:val="20"/>
              </w:rPr>
            </w:pPr>
            <w:r w:rsidRPr="000572AB">
              <w:rPr>
                <w:rFonts w:ascii="Times New Roman" w:hAnsi="Times New Roman"/>
                <w:sz w:val="20"/>
                <w:szCs w:val="20"/>
              </w:rPr>
              <w:t>343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D35" w:rsidRPr="000572AB" w:rsidRDefault="00C00920" w:rsidP="00D542E2">
            <w:pPr>
              <w:spacing w:after="0" w:line="240" w:lineRule="auto"/>
              <w:jc w:val="right"/>
              <w:rPr>
                <w:rFonts w:ascii="Times New Roman" w:hAnsi="Times New Roman"/>
                <w:sz w:val="20"/>
                <w:szCs w:val="20"/>
              </w:rPr>
            </w:pPr>
            <w:r w:rsidRPr="000572AB">
              <w:rPr>
                <w:rFonts w:ascii="Times New Roman" w:hAnsi="Times New Roman"/>
                <w:sz w:val="20"/>
                <w:szCs w:val="20"/>
              </w:rPr>
              <w:t>27</w:t>
            </w:r>
          </w:p>
        </w:tc>
      </w:tr>
      <w:tr w:rsidR="00806D35" w:rsidRPr="000572AB" w:rsidTr="00D542E2">
        <w:trPr>
          <w:trHeight w:val="255"/>
        </w:trPr>
        <w:tc>
          <w:tcPr>
            <w:tcW w:w="5263" w:type="dxa"/>
            <w:tcBorders>
              <w:top w:val="single" w:sz="4" w:space="0" w:color="auto"/>
              <w:left w:val="single" w:sz="4" w:space="0" w:color="auto"/>
              <w:bottom w:val="single" w:sz="4" w:space="0" w:color="auto"/>
              <w:right w:val="single" w:sz="4" w:space="0" w:color="auto"/>
            </w:tcBorders>
            <w:noWrap/>
            <w:vAlign w:val="center"/>
            <w:hideMark/>
          </w:tcPr>
          <w:p w:rsidR="00806D35" w:rsidRPr="000572AB" w:rsidRDefault="00806D35" w:rsidP="00D542E2">
            <w:pPr>
              <w:spacing w:after="0" w:line="240" w:lineRule="auto"/>
              <w:rPr>
                <w:rFonts w:ascii="Times New Roman" w:hAnsi="Times New Roman"/>
                <w:sz w:val="20"/>
                <w:szCs w:val="20"/>
              </w:rPr>
            </w:pPr>
            <w:r w:rsidRPr="000572AB">
              <w:rPr>
                <w:rFonts w:ascii="Times New Roman" w:hAnsi="Times New Roman"/>
                <w:sz w:val="20"/>
                <w:szCs w:val="20"/>
              </w:rPr>
              <w:t>Грошові кошти в дорозі </w:t>
            </w:r>
          </w:p>
        </w:tc>
        <w:tc>
          <w:tcPr>
            <w:tcW w:w="1982" w:type="dxa"/>
            <w:tcBorders>
              <w:top w:val="single" w:sz="4" w:space="0" w:color="auto"/>
              <w:left w:val="single" w:sz="4" w:space="0" w:color="auto"/>
              <w:bottom w:val="single" w:sz="4" w:space="0" w:color="auto"/>
              <w:right w:val="single" w:sz="4" w:space="0" w:color="auto"/>
            </w:tcBorders>
            <w:vAlign w:val="center"/>
            <w:hideMark/>
          </w:tcPr>
          <w:p w:rsidR="00806D35" w:rsidRPr="000572AB" w:rsidRDefault="00C00920" w:rsidP="00D542E2">
            <w:pPr>
              <w:spacing w:after="0" w:line="240" w:lineRule="auto"/>
              <w:jc w:val="right"/>
              <w:rPr>
                <w:rFonts w:ascii="Times New Roman" w:hAnsi="Times New Roman"/>
                <w:sz w:val="20"/>
                <w:szCs w:val="20"/>
              </w:rPr>
            </w:pPr>
            <w:r w:rsidRPr="000572AB">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D35" w:rsidRPr="000572AB" w:rsidRDefault="00C00920" w:rsidP="00D542E2">
            <w:pPr>
              <w:spacing w:after="0" w:line="240" w:lineRule="auto"/>
              <w:jc w:val="right"/>
              <w:rPr>
                <w:rFonts w:ascii="Times New Roman" w:hAnsi="Times New Roman"/>
                <w:sz w:val="20"/>
                <w:szCs w:val="20"/>
              </w:rPr>
            </w:pPr>
            <w:r w:rsidRPr="000572AB">
              <w:rPr>
                <w:rFonts w:ascii="Times New Roman" w:hAnsi="Times New Roman"/>
                <w:sz w:val="20"/>
                <w:szCs w:val="20"/>
              </w:rPr>
              <w:t>-</w:t>
            </w:r>
          </w:p>
        </w:tc>
      </w:tr>
      <w:tr w:rsidR="00806D35" w:rsidRPr="000572AB" w:rsidTr="00D542E2">
        <w:trPr>
          <w:trHeight w:val="255"/>
        </w:trPr>
        <w:tc>
          <w:tcPr>
            <w:tcW w:w="5263" w:type="dxa"/>
            <w:tcBorders>
              <w:top w:val="single" w:sz="4" w:space="0" w:color="auto"/>
              <w:left w:val="single" w:sz="4" w:space="0" w:color="auto"/>
              <w:bottom w:val="single" w:sz="4" w:space="0" w:color="auto"/>
              <w:right w:val="single" w:sz="4" w:space="0" w:color="auto"/>
            </w:tcBorders>
            <w:noWrap/>
            <w:vAlign w:val="center"/>
            <w:hideMark/>
          </w:tcPr>
          <w:p w:rsidR="00806D35" w:rsidRPr="000572AB" w:rsidRDefault="00806D35" w:rsidP="00D542E2">
            <w:pPr>
              <w:spacing w:after="0" w:line="240" w:lineRule="auto"/>
              <w:rPr>
                <w:rFonts w:ascii="Times New Roman" w:hAnsi="Times New Roman"/>
                <w:sz w:val="20"/>
                <w:szCs w:val="20"/>
                <w:lang w:val="en-US"/>
              </w:rPr>
            </w:pPr>
            <w:r w:rsidRPr="000572AB">
              <w:rPr>
                <w:rFonts w:ascii="Times New Roman" w:hAnsi="Times New Roman"/>
                <w:sz w:val="20"/>
                <w:szCs w:val="20"/>
              </w:rPr>
              <w:t xml:space="preserve">В касі </w:t>
            </w:r>
            <w:r w:rsidR="003D19D4" w:rsidRPr="000572AB">
              <w:rPr>
                <w:rFonts w:ascii="Times New Roman" w:hAnsi="Times New Roman"/>
                <w:sz w:val="20"/>
                <w:szCs w:val="20"/>
              </w:rPr>
              <w:t>Товариства</w:t>
            </w:r>
          </w:p>
        </w:tc>
        <w:tc>
          <w:tcPr>
            <w:tcW w:w="1982" w:type="dxa"/>
            <w:tcBorders>
              <w:top w:val="single" w:sz="4" w:space="0" w:color="auto"/>
              <w:left w:val="single" w:sz="4" w:space="0" w:color="auto"/>
              <w:bottom w:val="single" w:sz="4" w:space="0" w:color="auto"/>
              <w:right w:val="single" w:sz="4" w:space="0" w:color="auto"/>
            </w:tcBorders>
            <w:vAlign w:val="center"/>
            <w:hideMark/>
          </w:tcPr>
          <w:p w:rsidR="00806D35" w:rsidRPr="000572AB" w:rsidRDefault="00C00920" w:rsidP="00D542E2">
            <w:pPr>
              <w:spacing w:after="0" w:line="240" w:lineRule="auto"/>
              <w:jc w:val="right"/>
              <w:rPr>
                <w:rFonts w:ascii="Times New Roman" w:hAnsi="Times New Roman"/>
                <w:sz w:val="20"/>
                <w:szCs w:val="20"/>
              </w:rPr>
            </w:pPr>
            <w:r w:rsidRPr="000572AB">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D35" w:rsidRPr="000572AB" w:rsidRDefault="00C00920" w:rsidP="00D542E2">
            <w:pPr>
              <w:spacing w:after="0" w:line="240" w:lineRule="auto"/>
              <w:jc w:val="right"/>
              <w:rPr>
                <w:rFonts w:ascii="Times New Roman" w:hAnsi="Times New Roman"/>
                <w:sz w:val="20"/>
                <w:szCs w:val="20"/>
              </w:rPr>
            </w:pPr>
            <w:r w:rsidRPr="000572AB">
              <w:rPr>
                <w:rFonts w:ascii="Times New Roman" w:hAnsi="Times New Roman"/>
                <w:sz w:val="20"/>
                <w:szCs w:val="20"/>
              </w:rPr>
              <w:t>-</w:t>
            </w:r>
          </w:p>
        </w:tc>
      </w:tr>
      <w:tr w:rsidR="00806D35" w:rsidRPr="000572AB" w:rsidTr="00D542E2">
        <w:trPr>
          <w:trHeight w:val="255"/>
        </w:trPr>
        <w:tc>
          <w:tcPr>
            <w:tcW w:w="5263" w:type="dxa"/>
            <w:tcBorders>
              <w:top w:val="single" w:sz="4" w:space="0" w:color="auto"/>
              <w:left w:val="single" w:sz="4" w:space="0" w:color="auto"/>
              <w:bottom w:val="single" w:sz="4" w:space="0" w:color="auto"/>
              <w:right w:val="single" w:sz="4" w:space="0" w:color="auto"/>
            </w:tcBorders>
            <w:noWrap/>
            <w:vAlign w:val="bottom"/>
            <w:hideMark/>
          </w:tcPr>
          <w:p w:rsidR="00806D35" w:rsidRPr="000572AB" w:rsidRDefault="00806D35" w:rsidP="00D542E2">
            <w:pPr>
              <w:spacing w:after="0" w:line="240" w:lineRule="auto"/>
              <w:rPr>
                <w:rFonts w:ascii="Times New Roman" w:hAnsi="Times New Roman"/>
                <w:b/>
                <w:bCs/>
                <w:sz w:val="20"/>
                <w:szCs w:val="20"/>
              </w:rPr>
            </w:pPr>
            <w:r w:rsidRPr="000572AB">
              <w:rPr>
                <w:rFonts w:ascii="Times New Roman" w:hAnsi="Times New Roman"/>
                <w:b/>
                <w:bCs/>
                <w:sz w:val="20"/>
                <w:szCs w:val="20"/>
              </w:rPr>
              <w:t>Всього</w:t>
            </w:r>
          </w:p>
        </w:tc>
        <w:tc>
          <w:tcPr>
            <w:tcW w:w="1982" w:type="dxa"/>
            <w:tcBorders>
              <w:top w:val="single" w:sz="4" w:space="0" w:color="auto"/>
              <w:left w:val="single" w:sz="4" w:space="0" w:color="auto"/>
              <w:bottom w:val="single" w:sz="4" w:space="0" w:color="auto"/>
              <w:right w:val="single" w:sz="4" w:space="0" w:color="auto"/>
            </w:tcBorders>
            <w:hideMark/>
          </w:tcPr>
          <w:p w:rsidR="00806D35" w:rsidRPr="000572AB" w:rsidRDefault="00C00920" w:rsidP="00D542E2">
            <w:pPr>
              <w:spacing w:after="0" w:line="240" w:lineRule="auto"/>
              <w:jc w:val="right"/>
              <w:rPr>
                <w:rFonts w:ascii="Times New Roman" w:hAnsi="Times New Roman"/>
                <w:b/>
                <w:bCs/>
                <w:sz w:val="20"/>
                <w:szCs w:val="20"/>
              </w:rPr>
            </w:pPr>
            <w:r w:rsidRPr="000572AB">
              <w:rPr>
                <w:rFonts w:ascii="Times New Roman" w:hAnsi="Times New Roman"/>
                <w:b/>
                <w:bCs/>
                <w:sz w:val="20"/>
                <w:szCs w:val="20"/>
              </w:rPr>
              <w:t>343</w:t>
            </w:r>
          </w:p>
        </w:tc>
        <w:tc>
          <w:tcPr>
            <w:tcW w:w="2126" w:type="dxa"/>
            <w:tcBorders>
              <w:top w:val="single" w:sz="4" w:space="0" w:color="auto"/>
              <w:left w:val="single" w:sz="4" w:space="0" w:color="auto"/>
              <w:bottom w:val="single" w:sz="4" w:space="0" w:color="auto"/>
              <w:right w:val="single" w:sz="4" w:space="0" w:color="auto"/>
            </w:tcBorders>
            <w:hideMark/>
          </w:tcPr>
          <w:p w:rsidR="00806D35" w:rsidRPr="000572AB" w:rsidRDefault="00C00920" w:rsidP="00D542E2">
            <w:pPr>
              <w:spacing w:after="0" w:line="240" w:lineRule="auto"/>
              <w:jc w:val="right"/>
              <w:rPr>
                <w:rFonts w:ascii="Times New Roman" w:hAnsi="Times New Roman"/>
                <w:b/>
                <w:bCs/>
                <w:sz w:val="20"/>
                <w:szCs w:val="20"/>
              </w:rPr>
            </w:pPr>
            <w:r w:rsidRPr="000572AB">
              <w:rPr>
                <w:rFonts w:ascii="Times New Roman" w:hAnsi="Times New Roman"/>
                <w:b/>
                <w:bCs/>
                <w:sz w:val="20"/>
                <w:szCs w:val="20"/>
              </w:rPr>
              <w:t>27</w:t>
            </w:r>
          </w:p>
        </w:tc>
      </w:tr>
    </w:tbl>
    <w:p w:rsidR="00806D35" w:rsidRPr="000572AB" w:rsidRDefault="00806D35" w:rsidP="00D542E2">
      <w:pPr>
        <w:pStyle w:val="a2"/>
        <w:spacing w:after="0" w:line="240" w:lineRule="auto"/>
        <w:ind w:firstLine="555"/>
        <w:jc w:val="both"/>
        <w:rPr>
          <w:rFonts w:ascii="Times New Roman" w:hAnsi="Times New Roman"/>
          <w:sz w:val="20"/>
          <w:szCs w:val="20"/>
        </w:rPr>
      </w:pPr>
    </w:p>
    <w:p w:rsidR="00637BA4" w:rsidRPr="000572AB" w:rsidRDefault="00C00920" w:rsidP="00D542E2">
      <w:pPr>
        <w:tabs>
          <w:tab w:val="left" w:pos="3810"/>
        </w:tabs>
        <w:spacing w:after="0" w:line="240" w:lineRule="auto"/>
        <w:ind w:firstLine="709"/>
        <w:jc w:val="both"/>
        <w:rPr>
          <w:rFonts w:ascii="Times New Roman" w:hAnsi="Times New Roman"/>
          <w:b/>
          <w:sz w:val="20"/>
          <w:szCs w:val="20"/>
        </w:rPr>
      </w:pPr>
      <w:r w:rsidRPr="000572AB">
        <w:rPr>
          <w:rFonts w:ascii="Times New Roman" w:hAnsi="Times New Roman"/>
          <w:b/>
          <w:sz w:val="20"/>
          <w:szCs w:val="20"/>
        </w:rPr>
        <w:t>18</w:t>
      </w:r>
      <w:r w:rsidR="00637BA4" w:rsidRPr="000572AB">
        <w:rPr>
          <w:rFonts w:ascii="Times New Roman" w:hAnsi="Times New Roman"/>
          <w:b/>
          <w:sz w:val="20"/>
          <w:szCs w:val="20"/>
        </w:rPr>
        <w:t>.</w:t>
      </w:r>
      <w:r w:rsidR="0053252C" w:rsidRPr="000572AB">
        <w:rPr>
          <w:rFonts w:ascii="Times New Roman" w:hAnsi="Times New Roman"/>
          <w:b/>
          <w:sz w:val="20"/>
          <w:szCs w:val="20"/>
        </w:rPr>
        <w:t>6</w:t>
      </w:r>
      <w:r w:rsidR="00637BA4" w:rsidRPr="000572AB">
        <w:rPr>
          <w:rFonts w:ascii="Times New Roman" w:hAnsi="Times New Roman"/>
          <w:b/>
          <w:sz w:val="20"/>
          <w:szCs w:val="20"/>
        </w:rPr>
        <w:t>.  Власний капітал</w:t>
      </w:r>
    </w:p>
    <w:p w:rsidR="00637BA4" w:rsidRPr="000572AB" w:rsidRDefault="00637BA4" w:rsidP="00D542E2">
      <w:pPr>
        <w:pStyle w:val="210"/>
        <w:ind w:firstLine="709"/>
        <w:rPr>
          <w:rFonts w:ascii="Times New Roman" w:hAnsi="Times New Roman"/>
          <w:b w:val="0"/>
          <w:sz w:val="20"/>
        </w:rPr>
      </w:pPr>
      <w:r w:rsidRPr="000572AB">
        <w:rPr>
          <w:rFonts w:ascii="Times New Roman" w:hAnsi="Times New Roman"/>
          <w:b w:val="0"/>
          <w:sz w:val="20"/>
        </w:rPr>
        <w:t xml:space="preserve">Капітал </w:t>
      </w:r>
      <w:r w:rsidR="008377A0" w:rsidRPr="000572AB">
        <w:rPr>
          <w:rFonts w:ascii="Times New Roman" w:hAnsi="Times New Roman"/>
          <w:b w:val="0"/>
          <w:sz w:val="20"/>
        </w:rPr>
        <w:t>Товариства</w:t>
      </w:r>
      <w:r w:rsidRPr="000572AB">
        <w:rPr>
          <w:rFonts w:ascii="Times New Roman" w:hAnsi="Times New Roman"/>
          <w:b w:val="0"/>
          <w:sz w:val="20"/>
        </w:rPr>
        <w:t xml:space="preserve"> обліковується в національній валюті на рахунках 4 класу Плану рахунків.</w:t>
      </w:r>
    </w:p>
    <w:p w:rsidR="00637BA4" w:rsidRPr="000572AB" w:rsidRDefault="00637BA4" w:rsidP="00D542E2">
      <w:pPr>
        <w:pStyle w:val="210"/>
        <w:ind w:firstLine="709"/>
        <w:rPr>
          <w:rFonts w:ascii="Times New Roman" w:hAnsi="Times New Roman"/>
          <w:b w:val="0"/>
          <w:sz w:val="20"/>
        </w:rPr>
      </w:pPr>
      <w:r w:rsidRPr="000572AB">
        <w:rPr>
          <w:rFonts w:ascii="Times New Roman" w:hAnsi="Times New Roman"/>
          <w:b w:val="0"/>
          <w:sz w:val="20"/>
        </w:rPr>
        <w:t xml:space="preserve">Статутний капітал </w:t>
      </w:r>
      <w:r w:rsidR="008377A0" w:rsidRPr="000572AB">
        <w:rPr>
          <w:rFonts w:ascii="Times New Roman" w:hAnsi="Times New Roman"/>
          <w:b w:val="0"/>
          <w:sz w:val="20"/>
        </w:rPr>
        <w:t>Товариства</w:t>
      </w:r>
      <w:r w:rsidRPr="000572AB">
        <w:rPr>
          <w:rFonts w:ascii="Times New Roman" w:hAnsi="Times New Roman"/>
          <w:b w:val="0"/>
          <w:sz w:val="20"/>
        </w:rPr>
        <w:t xml:space="preserve"> сформован</w:t>
      </w:r>
      <w:r w:rsidR="00985A46" w:rsidRPr="000572AB">
        <w:rPr>
          <w:rFonts w:ascii="Times New Roman" w:hAnsi="Times New Roman"/>
          <w:b w:val="0"/>
          <w:sz w:val="20"/>
        </w:rPr>
        <w:t xml:space="preserve">о внесками Учасників Товариства </w:t>
      </w:r>
      <w:r w:rsidRPr="000572AB">
        <w:rPr>
          <w:rFonts w:ascii="Times New Roman" w:hAnsi="Times New Roman"/>
          <w:b w:val="0"/>
          <w:sz w:val="20"/>
        </w:rPr>
        <w:t>виключно у грошовій формі.</w:t>
      </w:r>
      <w:r w:rsidR="006E5FBD" w:rsidRPr="000572AB">
        <w:rPr>
          <w:rFonts w:ascii="Times New Roman" w:hAnsi="Times New Roman"/>
          <w:b w:val="0"/>
          <w:sz w:val="20"/>
        </w:rPr>
        <w:t xml:space="preserve"> </w:t>
      </w:r>
    </w:p>
    <w:p w:rsidR="009C0991" w:rsidRPr="000572AB" w:rsidRDefault="009C0991" w:rsidP="00D542E2">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572AB">
        <w:rPr>
          <w:rFonts w:ascii="Times New Roman" w:hAnsi="Times New Roman"/>
          <w:sz w:val="20"/>
          <w:szCs w:val="20"/>
        </w:rPr>
        <w:t>Станом на 31 грудня 2017 року зареєстрований та сплачений капітал складає</w:t>
      </w:r>
      <w:r w:rsidRPr="000572AB">
        <w:rPr>
          <w:rFonts w:ascii="Times New Roman" w:hAnsi="Times New Roman"/>
          <w:sz w:val="20"/>
          <w:szCs w:val="20"/>
        </w:rPr>
        <w:br/>
        <w:t xml:space="preserve"> </w:t>
      </w:r>
      <w:r w:rsidR="00C00920" w:rsidRPr="000572AB">
        <w:rPr>
          <w:rFonts w:ascii="Times New Roman" w:hAnsi="Times New Roman"/>
          <w:sz w:val="20"/>
          <w:szCs w:val="20"/>
        </w:rPr>
        <w:t>104 136</w:t>
      </w:r>
      <w:r w:rsidRPr="000572AB">
        <w:rPr>
          <w:rFonts w:ascii="Times New Roman" w:hAnsi="Times New Roman"/>
          <w:sz w:val="20"/>
          <w:szCs w:val="20"/>
        </w:rPr>
        <w:t xml:space="preserve"> тис. грн. та розподілений наступним чином: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1843"/>
        <w:gridCol w:w="2126"/>
        <w:gridCol w:w="1843"/>
      </w:tblGrid>
      <w:tr w:rsidR="00C00920" w:rsidRPr="000572AB" w:rsidTr="00D542E2">
        <w:trPr>
          <w:trHeight w:val="365"/>
        </w:trPr>
        <w:tc>
          <w:tcPr>
            <w:tcW w:w="3652" w:type="dxa"/>
            <w:tcBorders>
              <w:top w:val="single" w:sz="4" w:space="0" w:color="auto"/>
              <w:left w:val="single" w:sz="4" w:space="0" w:color="auto"/>
              <w:bottom w:val="single" w:sz="4" w:space="0" w:color="auto"/>
              <w:right w:val="single" w:sz="4" w:space="0" w:color="auto"/>
            </w:tcBorders>
            <w:hideMark/>
          </w:tcPr>
          <w:p w:rsidR="00C00920" w:rsidRPr="000572AB" w:rsidRDefault="00C00920" w:rsidP="00D542E2">
            <w:pPr>
              <w:pStyle w:val="81"/>
              <w:shd w:val="clear" w:color="auto" w:fill="auto"/>
              <w:spacing w:after="0" w:line="240" w:lineRule="auto"/>
              <w:jc w:val="both"/>
              <w:rPr>
                <w:rStyle w:val="80"/>
                <w:rFonts w:eastAsia="Calibri"/>
                <w:b/>
                <w:sz w:val="20"/>
                <w:szCs w:val="20"/>
                <w:lang w:eastAsia="uk-UA"/>
              </w:rPr>
            </w:pPr>
            <w:r w:rsidRPr="000572AB">
              <w:rPr>
                <w:rStyle w:val="80"/>
                <w:b/>
                <w:sz w:val="20"/>
                <w:szCs w:val="20"/>
                <w:lang w:eastAsia="uk-UA"/>
              </w:rPr>
              <w:t xml:space="preserve">Учасник </w:t>
            </w:r>
          </w:p>
        </w:tc>
        <w:tc>
          <w:tcPr>
            <w:tcW w:w="1843" w:type="dxa"/>
            <w:tcBorders>
              <w:top w:val="single" w:sz="4" w:space="0" w:color="auto"/>
              <w:left w:val="single" w:sz="4" w:space="0" w:color="auto"/>
              <w:bottom w:val="single" w:sz="4" w:space="0" w:color="auto"/>
              <w:right w:val="single" w:sz="4" w:space="0" w:color="auto"/>
            </w:tcBorders>
          </w:tcPr>
          <w:p w:rsidR="00C00920" w:rsidRPr="000572AB" w:rsidRDefault="00C00920" w:rsidP="00D542E2">
            <w:pPr>
              <w:pStyle w:val="81"/>
              <w:shd w:val="clear" w:color="auto" w:fill="auto"/>
              <w:spacing w:after="0" w:line="240" w:lineRule="auto"/>
              <w:jc w:val="both"/>
              <w:rPr>
                <w:rStyle w:val="80"/>
                <w:rFonts w:eastAsia="Calibri"/>
                <w:b/>
                <w:sz w:val="20"/>
                <w:szCs w:val="20"/>
                <w:lang w:eastAsia="uk-UA"/>
              </w:rPr>
            </w:pPr>
            <w:r w:rsidRPr="000572AB">
              <w:rPr>
                <w:rStyle w:val="80"/>
                <w:b/>
                <w:sz w:val="20"/>
                <w:szCs w:val="20"/>
                <w:lang w:eastAsia="uk-UA"/>
              </w:rPr>
              <w:t xml:space="preserve">Код ЄДРПОУ </w:t>
            </w:r>
            <w:r w:rsidR="00401587" w:rsidRPr="000572AB">
              <w:rPr>
                <w:rStyle w:val="80"/>
                <w:b/>
                <w:sz w:val="20"/>
                <w:szCs w:val="20"/>
                <w:lang w:val="ru-RU" w:eastAsia="uk-UA"/>
              </w:rPr>
              <w:t xml:space="preserve">або </w:t>
            </w:r>
            <w:r w:rsidR="00401587" w:rsidRPr="000572AB">
              <w:rPr>
                <w:rStyle w:val="80"/>
                <w:b/>
                <w:sz w:val="20"/>
                <w:szCs w:val="20"/>
                <w:lang w:eastAsia="uk-UA"/>
              </w:rPr>
              <w:t>ІНН</w:t>
            </w:r>
          </w:p>
        </w:tc>
        <w:tc>
          <w:tcPr>
            <w:tcW w:w="2126" w:type="dxa"/>
            <w:tcBorders>
              <w:top w:val="single" w:sz="4" w:space="0" w:color="auto"/>
              <w:left w:val="single" w:sz="4" w:space="0" w:color="auto"/>
              <w:bottom w:val="single" w:sz="4" w:space="0" w:color="auto"/>
              <w:right w:val="single" w:sz="4" w:space="0" w:color="auto"/>
            </w:tcBorders>
            <w:hideMark/>
          </w:tcPr>
          <w:p w:rsidR="00C00920" w:rsidRPr="000572AB" w:rsidRDefault="00C00920" w:rsidP="00D542E2">
            <w:pPr>
              <w:pStyle w:val="81"/>
              <w:shd w:val="clear" w:color="auto" w:fill="auto"/>
              <w:spacing w:after="0" w:line="240" w:lineRule="auto"/>
              <w:jc w:val="both"/>
              <w:rPr>
                <w:rStyle w:val="80"/>
                <w:rFonts w:eastAsia="Calibri"/>
                <w:b/>
                <w:sz w:val="20"/>
                <w:szCs w:val="20"/>
                <w:lang w:eastAsia="uk-UA"/>
              </w:rPr>
            </w:pPr>
            <w:r w:rsidRPr="000572AB">
              <w:rPr>
                <w:rStyle w:val="80"/>
                <w:b/>
                <w:sz w:val="20"/>
                <w:szCs w:val="20"/>
                <w:lang w:eastAsia="uk-UA"/>
              </w:rPr>
              <w:t>Частка у статутному капіталі, %</w:t>
            </w:r>
          </w:p>
        </w:tc>
        <w:tc>
          <w:tcPr>
            <w:tcW w:w="1843" w:type="dxa"/>
            <w:tcBorders>
              <w:top w:val="single" w:sz="4" w:space="0" w:color="auto"/>
              <w:left w:val="single" w:sz="4" w:space="0" w:color="auto"/>
              <w:bottom w:val="single" w:sz="4" w:space="0" w:color="auto"/>
              <w:right w:val="single" w:sz="4" w:space="0" w:color="auto"/>
            </w:tcBorders>
            <w:hideMark/>
          </w:tcPr>
          <w:p w:rsidR="00C00920" w:rsidRPr="000572AB" w:rsidRDefault="00C00920" w:rsidP="00D542E2">
            <w:pPr>
              <w:pStyle w:val="81"/>
              <w:shd w:val="clear" w:color="auto" w:fill="auto"/>
              <w:spacing w:after="0" w:line="240" w:lineRule="auto"/>
              <w:jc w:val="both"/>
              <w:rPr>
                <w:rStyle w:val="80"/>
                <w:rFonts w:eastAsia="Calibri"/>
                <w:b/>
                <w:sz w:val="20"/>
                <w:szCs w:val="20"/>
                <w:lang w:eastAsia="uk-UA"/>
              </w:rPr>
            </w:pPr>
            <w:r w:rsidRPr="000572AB">
              <w:rPr>
                <w:rStyle w:val="80"/>
                <w:b/>
                <w:sz w:val="20"/>
                <w:szCs w:val="20"/>
                <w:lang w:eastAsia="uk-UA"/>
              </w:rPr>
              <w:t>Вклад учасника, тис. грн.</w:t>
            </w:r>
          </w:p>
        </w:tc>
      </w:tr>
      <w:tr w:rsidR="00C00920" w:rsidRPr="000572AB" w:rsidTr="00D542E2">
        <w:tc>
          <w:tcPr>
            <w:tcW w:w="3652" w:type="dxa"/>
            <w:tcBorders>
              <w:top w:val="single" w:sz="4" w:space="0" w:color="auto"/>
              <w:left w:val="single" w:sz="4" w:space="0" w:color="auto"/>
              <w:bottom w:val="single" w:sz="4" w:space="0" w:color="auto"/>
              <w:right w:val="single" w:sz="4" w:space="0" w:color="auto"/>
            </w:tcBorders>
            <w:hideMark/>
          </w:tcPr>
          <w:p w:rsidR="00C00920" w:rsidRPr="000572AB" w:rsidRDefault="00C00920" w:rsidP="00D542E2">
            <w:pPr>
              <w:pStyle w:val="81"/>
              <w:shd w:val="clear" w:color="auto" w:fill="auto"/>
              <w:spacing w:after="0" w:line="240" w:lineRule="auto"/>
              <w:rPr>
                <w:rStyle w:val="80"/>
                <w:rFonts w:eastAsia="Calibri"/>
                <w:sz w:val="20"/>
                <w:szCs w:val="20"/>
                <w:lang w:eastAsia="uk-UA"/>
              </w:rPr>
            </w:pPr>
            <w:r w:rsidRPr="000572AB">
              <w:rPr>
                <w:sz w:val="20"/>
                <w:szCs w:val="20"/>
              </w:rPr>
              <w:lastRenderedPageBreak/>
              <w:t>ТОВ «</w:t>
            </w:r>
            <w:r w:rsidRPr="000572AB">
              <w:rPr>
                <w:sz w:val="20"/>
                <w:szCs w:val="20"/>
                <w:lang w:eastAsia="uk-UA"/>
              </w:rPr>
              <w:t>УКРАЇНСЬКА ПРАВНИЧА КОМПАНІЯ</w:t>
            </w:r>
            <w:r w:rsidRPr="000572AB">
              <w:rPr>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C00920" w:rsidRPr="000572AB" w:rsidRDefault="00401587" w:rsidP="00D542E2">
            <w:pPr>
              <w:pStyle w:val="81"/>
              <w:shd w:val="clear" w:color="auto" w:fill="auto"/>
              <w:spacing w:after="0" w:line="240" w:lineRule="auto"/>
              <w:rPr>
                <w:rStyle w:val="80"/>
                <w:rFonts w:eastAsia="Calibri"/>
                <w:sz w:val="20"/>
                <w:szCs w:val="20"/>
                <w:lang w:val="en-US" w:eastAsia="uk-UA"/>
              </w:rPr>
            </w:pPr>
            <w:r w:rsidRPr="000572AB">
              <w:rPr>
                <w:rStyle w:val="80"/>
                <w:rFonts w:eastAsia="Calibri"/>
                <w:sz w:val="20"/>
                <w:szCs w:val="20"/>
                <w:lang w:val="en-US" w:eastAsia="uk-UA"/>
              </w:rPr>
              <w:t>32597084</w:t>
            </w:r>
          </w:p>
        </w:tc>
        <w:tc>
          <w:tcPr>
            <w:tcW w:w="2126" w:type="dxa"/>
            <w:tcBorders>
              <w:top w:val="single" w:sz="4" w:space="0" w:color="auto"/>
              <w:left w:val="single" w:sz="4" w:space="0" w:color="auto"/>
              <w:bottom w:val="single" w:sz="4" w:space="0" w:color="auto"/>
              <w:right w:val="single" w:sz="4" w:space="0" w:color="auto"/>
            </w:tcBorders>
            <w:hideMark/>
          </w:tcPr>
          <w:p w:rsidR="00C00920" w:rsidRPr="000572AB" w:rsidRDefault="00401587" w:rsidP="00D542E2">
            <w:pPr>
              <w:pStyle w:val="81"/>
              <w:shd w:val="clear" w:color="auto" w:fill="auto"/>
              <w:spacing w:after="0" w:line="240" w:lineRule="auto"/>
              <w:jc w:val="center"/>
              <w:rPr>
                <w:rStyle w:val="80"/>
                <w:rFonts w:eastAsia="Calibri"/>
                <w:sz w:val="20"/>
                <w:szCs w:val="20"/>
                <w:lang w:val="en-US" w:eastAsia="uk-UA"/>
              </w:rPr>
            </w:pPr>
            <w:r w:rsidRPr="000572AB">
              <w:rPr>
                <w:rStyle w:val="80"/>
                <w:rFonts w:eastAsia="Calibri"/>
                <w:sz w:val="20"/>
                <w:szCs w:val="20"/>
                <w:lang w:val="en-US" w:eastAsia="uk-UA"/>
              </w:rPr>
              <w:t>99,999741%</w:t>
            </w:r>
          </w:p>
        </w:tc>
        <w:tc>
          <w:tcPr>
            <w:tcW w:w="1843" w:type="dxa"/>
            <w:tcBorders>
              <w:top w:val="single" w:sz="4" w:space="0" w:color="auto"/>
              <w:left w:val="single" w:sz="4" w:space="0" w:color="auto"/>
              <w:bottom w:val="single" w:sz="4" w:space="0" w:color="auto"/>
              <w:right w:val="single" w:sz="4" w:space="0" w:color="auto"/>
            </w:tcBorders>
            <w:hideMark/>
          </w:tcPr>
          <w:p w:rsidR="00C00920" w:rsidRPr="000572AB" w:rsidRDefault="00401587" w:rsidP="00D542E2">
            <w:pPr>
              <w:pStyle w:val="81"/>
              <w:shd w:val="clear" w:color="auto" w:fill="auto"/>
              <w:spacing w:after="0" w:line="240" w:lineRule="auto"/>
              <w:jc w:val="center"/>
              <w:rPr>
                <w:rStyle w:val="80"/>
                <w:rFonts w:eastAsia="Calibri"/>
                <w:sz w:val="20"/>
                <w:szCs w:val="20"/>
                <w:lang w:val="en-US" w:eastAsia="uk-UA"/>
              </w:rPr>
            </w:pPr>
            <w:r w:rsidRPr="000572AB">
              <w:rPr>
                <w:rStyle w:val="80"/>
                <w:sz w:val="20"/>
                <w:szCs w:val="20"/>
                <w:lang w:val="ru-RU" w:eastAsia="uk-UA"/>
              </w:rPr>
              <w:t>104</w:t>
            </w:r>
            <w:r w:rsidRPr="000572AB">
              <w:rPr>
                <w:rStyle w:val="80"/>
                <w:sz w:val="20"/>
                <w:szCs w:val="20"/>
                <w:lang w:val="en-US" w:eastAsia="uk-UA"/>
              </w:rPr>
              <w:t> </w:t>
            </w:r>
            <w:r w:rsidRPr="000572AB">
              <w:rPr>
                <w:rStyle w:val="80"/>
                <w:sz w:val="20"/>
                <w:szCs w:val="20"/>
                <w:lang w:val="ru-RU" w:eastAsia="uk-UA"/>
              </w:rPr>
              <w:t>135</w:t>
            </w:r>
            <w:r w:rsidRPr="000572AB">
              <w:rPr>
                <w:rStyle w:val="80"/>
                <w:sz w:val="20"/>
                <w:szCs w:val="20"/>
                <w:lang w:val="en-US" w:eastAsia="uk-UA"/>
              </w:rPr>
              <w:t>,</w:t>
            </w:r>
            <w:r w:rsidRPr="000572AB">
              <w:rPr>
                <w:rStyle w:val="80"/>
                <w:sz w:val="20"/>
                <w:szCs w:val="20"/>
                <w:lang w:val="ru-RU" w:eastAsia="uk-UA"/>
              </w:rPr>
              <w:t>7</w:t>
            </w:r>
            <w:r w:rsidRPr="000572AB">
              <w:rPr>
                <w:rStyle w:val="80"/>
                <w:sz w:val="20"/>
                <w:szCs w:val="20"/>
                <w:lang w:val="en-US" w:eastAsia="uk-UA"/>
              </w:rPr>
              <w:t>3</w:t>
            </w:r>
          </w:p>
        </w:tc>
      </w:tr>
      <w:tr w:rsidR="00C00920" w:rsidRPr="000572AB" w:rsidTr="00D542E2">
        <w:trPr>
          <w:trHeight w:val="292"/>
        </w:trPr>
        <w:tc>
          <w:tcPr>
            <w:tcW w:w="3652" w:type="dxa"/>
            <w:tcBorders>
              <w:top w:val="single" w:sz="4" w:space="0" w:color="auto"/>
              <w:left w:val="single" w:sz="4" w:space="0" w:color="auto"/>
              <w:bottom w:val="single" w:sz="4" w:space="0" w:color="auto"/>
              <w:right w:val="single" w:sz="4" w:space="0" w:color="auto"/>
            </w:tcBorders>
            <w:hideMark/>
          </w:tcPr>
          <w:p w:rsidR="00C00920" w:rsidRPr="000572AB" w:rsidRDefault="00C00920" w:rsidP="00D542E2">
            <w:pPr>
              <w:spacing w:after="0" w:line="240" w:lineRule="auto"/>
              <w:jc w:val="both"/>
              <w:rPr>
                <w:rStyle w:val="80"/>
                <w:rFonts w:ascii="Times New Roman" w:hAnsi="Times New Roman"/>
                <w:sz w:val="20"/>
                <w:szCs w:val="20"/>
                <w:lang w:eastAsia="uk-UA"/>
              </w:rPr>
            </w:pPr>
            <w:r w:rsidRPr="000572AB">
              <w:rPr>
                <w:rFonts w:ascii="Times New Roman" w:hAnsi="Times New Roman"/>
                <w:sz w:val="20"/>
                <w:szCs w:val="20"/>
                <w:lang w:eastAsia="uk-UA"/>
              </w:rPr>
              <w:t>Литвинюк Володимир Анатолійович</w:t>
            </w:r>
          </w:p>
        </w:tc>
        <w:tc>
          <w:tcPr>
            <w:tcW w:w="1843" w:type="dxa"/>
            <w:tcBorders>
              <w:top w:val="single" w:sz="4" w:space="0" w:color="auto"/>
              <w:left w:val="single" w:sz="4" w:space="0" w:color="auto"/>
              <w:bottom w:val="single" w:sz="4" w:space="0" w:color="auto"/>
              <w:right w:val="single" w:sz="4" w:space="0" w:color="auto"/>
            </w:tcBorders>
            <w:hideMark/>
          </w:tcPr>
          <w:p w:rsidR="00C00920" w:rsidRPr="000572AB" w:rsidRDefault="00401587" w:rsidP="00D542E2">
            <w:pPr>
              <w:pStyle w:val="81"/>
              <w:shd w:val="clear" w:color="auto" w:fill="auto"/>
              <w:spacing w:after="0" w:line="240" w:lineRule="auto"/>
              <w:rPr>
                <w:rStyle w:val="80"/>
                <w:rFonts w:eastAsia="Calibri"/>
                <w:sz w:val="20"/>
                <w:szCs w:val="20"/>
                <w:lang w:eastAsia="uk-UA"/>
              </w:rPr>
            </w:pPr>
            <w:r w:rsidRPr="000572AB">
              <w:rPr>
                <w:rStyle w:val="80"/>
                <w:rFonts w:eastAsia="Calibri"/>
                <w:sz w:val="20"/>
                <w:szCs w:val="20"/>
                <w:lang w:eastAsia="uk-UA"/>
              </w:rPr>
              <w:t>2986314570</w:t>
            </w:r>
          </w:p>
        </w:tc>
        <w:tc>
          <w:tcPr>
            <w:tcW w:w="2126" w:type="dxa"/>
            <w:tcBorders>
              <w:top w:val="single" w:sz="4" w:space="0" w:color="auto"/>
              <w:left w:val="single" w:sz="4" w:space="0" w:color="auto"/>
              <w:bottom w:val="single" w:sz="4" w:space="0" w:color="auto"/>
              <w:right w:val="single" w:sz="4" w:space="0" w:color="auto"/>
            </w:tcBorders>
            <w:hideMark/>
          </w:tcPr>
          <w:p w:rsidR="00C00920" w:rsidRPr="000572AB" w:rsidRDefault="00401587" w:rsidP="00D542E2">
            <w:pPr>
              <w:pStyle w:val="81"/>
              <w:shd w:val="clear" w:color="auto" w:fill="auto"/>
              <w:spacing w:after="0" w:line="240" w:lineRule="auto"/>
              <w:jc w:val="center"/>
              <w:rPr>
                <w:rStyle w:val="80"/>
                <w:rFonts w:eastAsia="Calibri"/>
                <w:sz w:val="20"/>
                <w:szCs w:val="20"/>
                <w:lang w:val="ru-RU" w:eastAsia="uk-UA"/>
              </w:rPr>
            </w:pPr>
            <w:r w:rsidRPr="000572AB">
              <w:rPr>
                <w:rStyle w:val="80"/>
                <w:rFonts w:eastAsia="Calibri"/>
                <w:sz w:val="20"/>
                <w:szCs w:val="20"/>
                <w:lang w:val="ru-RU" w:eastAsia="uk-UA"/>
              </w:rPr>
              <w:t>0,000259%</w:t>
            </w:r>
          </w:p>
        </w:tc>
        <w:tc>
          <w:tcPr>
            <w:tcW w:w="1843" w:type="dxa"/>
            <w:tcBorders>
              <w:top w:val="single" w:sz="4" w:space="0" w:color="auto"/>
              <w:left w:val="single" w:sz="4" w:space="0" w:color="auto"/>
              <w:bottom w:val="single" w:sz="4" w:space="0" w:color="auto"/>
              <w:right w:val="single" w:sz="4" w:space="0" w:color="auto"/>
            </w:tcBorders>
            <w:hideMark/>
          </w:tcPr>
          <w:p w:rsidR="00C00920" w:rsidRPr="000572AB" w:rsidRDefault="00401587" w:rsidP="00D542E2">
            <w:pPr>
              <w:pStyle w:val="81"/>
              <w:spacing w:after="0" w:line="240" w:lineRule="auto"/>
              <w:jc w:val="center"/>
              <w:rPr>
                <w:rStyle w:val="80"/>
                <w:rFonts w:eastAsia="Calibri"/>
                <w:sz w:val="20"/>
                <w:szCs w:val="20"/>
                <w:lang w:val="ru-RU" w:eastAsia="uk-UA"/>
              </w:rPr>
            </w:pPr>
            <w:r w:rsidRPr="000572AB">
              <w:rPr>
                <w:rStyle w:val="80"/>
                <w:rFonts w:eastAsia="Calibri"/>
                <w:sz w:val="20"/>
                <w:szCs w:val="20"/>
                <w:lang w:val="ru-RU" w:eastAsia="uk-UA"/>
              </w:rPr>
              <w:t>0,27</w:t>
            </w:r>
          </w:p>
        </w:tc>
      </w:tr>
      <w:tr w:rsidR="00C00920" w:rsidRPr="000572AB" w:rsidTr="00D542E2">
        <w:trPr>
          <w:trHeight w:val="255"/>
        </w:trPr>
        <w:tc>
          <w:tcPr>
            <w:tcW w:w="3652" w:type="dxa"/>
            <w:tcBorders>
              <w:top w:val="single" w:sz="4" w:space="0" w:color="auto"/>
              <w:left w:val="single" w:sz="4" w:space="0" w:color="auto"/>
              <w:bottom w:val="single" w:sz="4" w:space="0" w:color="auto"/>
              <w:right w:val="single" w:sz="4" w:space="0" w:color="auto"/>
            </w:tcBorders>
            <w:hideMark/>
          </w:tcPr>
          <w:p w:rsidR="00C00920" w:rsidRPr="000572AB" w:rsidRDefault="00C00920" w:rsidP="00D542E2">
            <w:pPr>
              <w:pStyle w:val="81"/>
              <w:shd w:val="clear" w:color="auto" w:fill="auto"/>
              <w:spacing w:after="0" w:line="240" w:lineRule="auto"/>
              <w:jc w:val="both"/>
              <w:rPr>
                <w:rStyle w:val="80"/>
                <w:rFonts w:eastAsia="Calibri"/>
                <w:b/>
                <w:sz w:val="20"/>
                <w:szCs w:val="20"/>
                <w:lang w:eastAsia="uk-UA"/>
              </w:rPr>
            </w:pPr>
            <w:r w:rsidRPr="000572AB">
              <w:rPr>
                <w:rStyle w:val="80"/>
                <w:b/>
                <w:sz w:val="20"/>
                <w:szCs w:val="20"/>
                <w:lang w:eastAsia="uk-UA"/>
              </w:rPr>
              <w:t>Х</w:t>
            </w:r>
          </w:p>
        </w:tc>
        <w:tc>
          <w:tcPr>
            <w:tcW w:w="1843" w:type="dxa"/>
            <w:tcBorders>
              <w:top w:val="single" w:sz="4" w:space="0" w:color="auto"/>
              <w:left w:val="single" w:sz="4" w:space="0" w:color="auto"/>
              <w:bottom w:val="single" w:sz="4" w:space="0" w:color="auto"/>
              <w:right w:val="single" w:sz="4" w:space="0" w:color="auto"/>
            </w:tcBorders>
            <w:hideMark/>
          </w:tcPr>
          <w:p w:rsidR="00C00920" w:rsidRPr="000572AB" w:rsidRDefault="00C00920" w:rsidP="00D542E2">
            <w:pPr>
              <w:pStyle w:val="81"/>
              <w:shd w:val="clear" w:color="auto" w:fill="auto"/>
              <w:spacing w:after="0" w:line="240" w:lineRule="auto"/>
              <w:jc w:val="both"/>
              <w:rPr>
                <w:rStyle w:val="80"/>
                <w:rFonts w:eastAsia="Calibri"/>
                <w:b/>
                <w:sz w:val="20"/>
                <w:szCs w:val="20"/>
                <w:lang w:eastAsia="uk-UA"/>
              </w:rPr>
            </w:pPr>
            <w:r w:rsidRPr="000572AB">
              <w:rPr>
                <w:rStyle w:val="80"/>
                <w:b/>
                <w:sz w:val="20"/>
                <w:szCs w:val="20"/>
                <w:lang w:eastAsia="uk-UA"/>
              </w:rPr>
              <w:t>Х</w:t>
            </w:r>
          </w:p>
        </w:tc>
        <w:tc>
          <w:tcPr>
            <w:tcW w:w="2126" w:type="dxa"/>
            <w:tcBorders>
              <w:top w:val="single" w:sz="4" w:space="0" w:color="auto"/>
              <w:left w:val="single" w:sz="4" w:space="0" w:color="auto"/>
              <w:bottom w:val="single" w:sz="4" w:space="0" w:color="auto"/>
              <w:right w:val="single" w:sz="4" w:space="0" w:color="auto"/>
            </w:tcBorders>
            <w:hideMark/>
          </w:tcPr>
          <w:p w:rsidR="00C00920" w:rsidRPr="000572AB" w:rsidRDefault="00C00920" w:rsidP="00D542E2">
            <w:pPr>
              <w:pStyle w:val="81"/>
              <w:shd w:val="clear" w:color="auto" w:fill="auto"/>
              <w:spacing w:after="0" w:line="240" w:lineRule="auto"/>
              <w:jc w:val="center"/>
              <w:rPr>
                <w:rStyle w:val="80"/>
                <w:rFonts w:eastAsia="Calibri"/>
                <w:b/>
                <w:sz w:val="20"/>
                <w:szCs w:val="20"/>
                <w:lang w:eastAsia="uk-UA"/>
              </w:rPr>
            </w:pPr>
            <w:r w:rsidRPr="000572AB">
              <w:rPr>
                <w:rStyle w:val="80"/>
                <w:b/>
                <w:sz w:val="20"/>
                <w:szCs w:val="20"/>
                <w:lang w:eastAsia="uk-UA"/>
              </w:rPr>
              <w:t>100,0</w:t>
            </w:r>
          </w:p>
        </w:tc>
        <w:tc>
          <w:tcPr>
            <w:tcW w:w="1843" w:type="dxa"/>
            <w:tcBorders>
              <w:top w:val="single" w:sz="4" w:space="0" w:color="auto"/>
              <w:left w:val="single" w:sz="4" w:space="0" w:color="auto"/>
              <w:bottom w:val="single" w:sz="4" w:space="0" w:color="auto"/>
              <w:right w:val="single" w:sz="4" w:space="0" w:color="auto"/>
            </w:tcBorders>
            <w:hideMark/>
          </w:tcPr>
          <w:p w:rsidR="00C00920" w:rsidRPr="000572AB" w:rsidRDefault="00246408" w:rsidP="00D542E2">
            <w:pPr>
              <w:pStyle w:val="81"/>
              <w:shd w:val="clear" w:color="auto" w:fill="auto"/>
              <w:spacing w:after="0" w:line="240" w:lineRule="auto"/>
              <w:jc w:val="center"/>
              <w:rPr>
                <w:rStyle w:val="80"/>
                <w:rFonts w:eastAsia="Calibri"/>
                <w:b/>
                <w:sz w:val="20"/>
                <w:szCs w:val="20"/>
                <w:lang w:eastAsia="uk-UA"/>
              </w:rPr>
            </w:pPr>
            <w:r w:rsidRPr="000572AB">
              <w:rPr>
                <w:rStyle w:val="80"/>
                <w:b/>
                <w:sz w:val="20"/>
                <w:szCs w:val="20"/>
                <w:lang w:eastAsia="uk-UA"/>
              </w:rPr>
              <w:t>104 136</w:t>
            </w:r>
          </w:p>
        </w:tc>
      </w:tr>
    </w:tbl>
    <w:p w:rsidR="00637BA4" w:rsidRPr="000572AB" w:rsidRDefault="00637BA4" w:rsidP="00D542E2">
      <w:pPr>
        <w:spacing w:after="0" w:line="240" w:lineRule="auto"/>
        <w:ind w:firstLine="567"/>
        <w:jc w:val="both"/>
        <w:rPr>
          <w:rFonts w:ascii="Times New Roman" w:hAnsi="Times New Roman"/>
          <w:sz w:val="20"/>
          <w:szCs w:val="20"/>
        </w:rPr>
      </w:pPr>
      <w:r w:rsidRPr="000572AB">
        <w:rPr>
          <w:rFonts w:ascii="Times New Roman" w:hAnsi="Times New Roman"/>
          <w:sz w:val="20"/>
          <w:szCs w:val="20"/>
        </w:rPr>
        <w:t xml:space="preserve">Резервний капітал формується за рахунок нерозподіленого прибутку за рішенням Загальних зборів засновників (Учасників) та відповідно до Статуту </w:t>
      </w:r>
      <w:r w:rsidR="008377A0" w:rsidRPr="000572AB">
        <w:rPr>
          <w:rFonts w:ascii="Times New Roman" w:hAnsi="Times New Roman"/>
          <w:sz w:val="20"/>
          <w:szCs w:val="20"/>
        </w:rPr>
        <w:t>Товариства</w:t>
      </w:r>
      <w:r w:rsidRPr="000572AB">
        <w:rPr>
          <w:rFonts w:ascii="Times New Roman" w:hAnsi="Times New Roman"/>
          <w:sz w:val="20"/>
          <w:szCs w:val="20"/>
        </w:rPr>
        <w:t>.</w:t>
      </w:r>
      <w:r w:rsidR="00B073C4" w:rsidRPr="000572AB">
        <w:rPr>
          <w:rFonts w:ascii="Times New Roman" w:hAnsi="Times New Roman"/>
          <w:sz w:val="20"/>
          <w:szCs w:val="20"/>
        </w:rPr>
        <w:t xml:space="preserve"> </w:t>
      </w:r>
      <w:r w:rsidRPr="000572AB">
        <w:rPr>
          <w:rFonts w:ascii="Times New Roman" w:hAnsi="Times New Roman"/>
          <w:sz w:val="20"/>
          <w:szCs w:val="20"/>
        </w:rPr>
        <w:t xml:space="preserve">Резервний капітал </w:t>
      </w:r>
      <w:r w:rsidR="008377A0" w:rsidRPr="000572AB">
        <w:rPr>
          <w:rFonts w:ascii="Times New Roman" w:hAnsi="Times New Roman"/>
          <w:sz w:val="20"/>
          <w:szCs w:val="20"/>
        </w:rPr>
        <w:t>Товариства</w:t>
      </w:r>
      <w:r w:rsidRPr="000572AB">
        <w:rPr>
          <w:rFonts w:ascii="Times New Roman" w:hAnsi="Times New Roman"/>
          <w:sz w:val="20"/>
          <w:szCs w:val="20"/>
        </w:rPr>
        <w:t xml:space="preserve"> </w:t>
      </w:r>
      <w:r w:rsidR="00C00920" w:rsidRPr="000572AB">
        <w:rPr>
          <w:rFonts w:ascii="Times New Roman" w:hAnsi="Times New Roman"/>
          <w:sz w:val="20"/>
          <w:szCs w:val="20"/>
        </w:rPr>
        <w:t xml:space="preserve">має </w:t>
      </w:r>
      <w:r w:rsidRPr="000572AB">
        <w:rPr>
          <w:rFonts w:ascii="Times New Roman" w:hAnsi="Times New Roman"/>
          <w:sz w:val="20"/>
          <w:szCs w:val="20"/>
        </w:rPr>
        <w:t>створю</w:t>
      </w:r>
      <w:r w:rsidR="00C00920" w:rsidRPr="000572AB">
        <w:rPr>
          <w:rFonts w:ascii="Times New Roman" w:hAnsi="Times New Roman"/>
          <w:sz w:val="20"/>
          <w:szCs w:val="20"/>
        </w:rPr>
        <w:t xml:space="preserve">ватися </w:t>
      </w:r>
      <w:r w:rsidRPr="000572AB">
        <w:rPr>
          <w:rFonts w:ascii="Times New Roman" w:hAnsi="Times New Roman"/>
          <w:sz w:val="20"/>
          <w:szCs w:val="20"/>
        </w:rPr>
        <w:t xml:space="preserve">у розмірі не менше 25% статутного капіталу </w:t>
      </w:r>
      <w:r w:rsidR="008377A0" w:rsidRPr="000572AB">
        <w:rPr>
          <w:rFonts w:ascii="Times New Roman" w:hAnsi="Times New Roman"/>
          <w:sz w:val="20"/>
          <w:szCs w:val="20"/>
        </w:rPr>
        <w:t>Товариства</w:t>
      </w:r>
      <w:r w:rsidRPr="000572AB">
        <w:rPr>
          <w:rFonts w:ascii="Times New Roman" w:hAnsi="Times New Roman"/>
          <w:sz w:val="20"/>
          <w:szCs w:val="20"/>
        </w:rPr>
        <w:t xml:space="preserve"> і призначається для покриття витрат, пов’язаних з відшкодуванням збитків, та запланованих витрат. Резервний капітал </w:t>
      </w:r>
      <w:r w:rsidR="00C00920" w:rsidRPr="000572AB">
        <w:rPr>
          <w:rFonts w:ascii="Times New Roman" w:hAnsi="Times New Roman"/>
          <w:sz w:val="20"/>
          <w:szCs w:val="20"/>
        </w:rPr>
        <w:t xml:space="preserve">має </w:t>
      </w:r>
      <w:r w:rsidRPr="000572AB">
        <w:rPr>
          <w:rFonts w:ascii="Times New Roman" w:hAnsi="Times New Roman"/>
          <w:sz w:val="20"/>
          <w:szCs w:val="20"/>
        </w:rPr>
        <w:t>форму</w:t>
      </w:r>
      <w:r w:rsidR="00C00920" w:rsidRPr="000572AB">
        <w:rPr>
          <w:rFonts w:ascii="Times New Roman" w:hAnsi="Times New Roman"/>
          <w:sz w:val="20"/>
          <w:szCs w:val="20"/>
        </w:rPr>
        <w:t xml:space="preserve">ватися </w:t>
      </w:r>
      <w:r w:rsidRPr="000572AB">
        <w:rPr>
          <w:rFonts w:ascii="Times New Roman" w:hAnsi="Times New Roman"/>
          <w:sz w:val="20"/>
          <w:szCs w:val="20"/>
        </w:rPr>
        <w:t xml:space="preserve">шляхом щорічних відрахувань у розмірі не менше 5% суми прибутку </w:t>
      </w:r>
      <w:r w:rsidR="008377A0" w:rsidRPr="000572AB">
        <w:rPr>
          <w:rFonts w:ascii="Times New Roman" w:hAnsi="Times New Roman"/>
          <w:sz w:val="20"/>
          <w:szCs w:val="20"/>
        </w:rPr>
        <w:t>Товариства</w:t>
      </w:r>
      <w:r w:rsidRPr="000572AB">
        <w:rPr>
          <w:rFonts w:ascii="Times New Roman" w:hAnsi="Times New Roman"/>
          <w:sz w:val="20"/>
          <w:szCs w:val="20"/>
        </w:rPr>
        <w:t xml:space="preserve"> до досягнення визначеного розміру. </w:t>
      </w:r>
    </w:p>
    <w:p w:rsidR="00637BA4" w:rsidRPr="000572AB" w:rsidRDefault="00637BA4" w:rsidP="00D542E2">
      <w:pPr>
        <w:pStyle w:val="a2"/>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Загальна сума власного</w:t>
      </w:r>
      <w:r w:rsidR="0053252C" w:rsidRPr="000572AB">
        <w:rPr>
          <w:rFonts w:ascii="Times New Roman" w:hAnsi="Times New Roman"/>
          <w:sz w:val="20"/>
          <w:szCs w:val="20"/>
        </w:rPr>
        <w:t xml:space="preserve"> капіталу </w:t>
      </w:r>
      <w:r w:rsidR="006A46C4" w:rsidRPr="000572AB">
        <w:rPr>
          <w:rFonts w:ascii="Times New Roman" w:hAnsi="Times New Roman"/>
          <w:sz w:val="20"/>
          <w:szCs w:val="20"/>
        </w:rPr>
        <w:t>Товариства</w:t>
      </w:r>
      <w:r w:rsidR="00737ABD" w:rsidRPr="000572AB">
        <w:rPr>
          <w:rFonts w:ascii="Times New Roman" w:hAnsi="Times New Roman"/>
          <w:sz w:val="20"/>
          <w:szCs w:val="20"/>
        </w:rPr>
        <w:t xml:space="preserve"> на 31.12.201</w:t>
      </w:r>
      <w:r w:rsidR="00B435E8" w:rsidRPr="000572AB">
        <w:rPr>
          <w:rFonts w:ascii="Times New Roman" w:hAnsi="Times New Roman"/>
          <w:sz w:val="20"/>
          <w:szCs w:val="20"/>
        </w:rPr>
        <w:t>7</w:t>
      </w:r>
      <w:r w:rsidRPr="000572AB">
        <w:rPr>
          <w:rFonts w:ascii="Times New Roman" w:hAnsi="Times New Roman"/>
          <w:sz w:val="20"/>
          <w:szCs w:val="20"/>
        </w:rPr>
        <w:t xml:space="preserve"> р. становить </w:t>
      </w:r>
      <w:r w:rsidR="00181448" w:rsidRPr="000572AB">
        <w:rPr>
          <w:rFonts w:ascii="Times New Roman" w:hAnsi="Times New Roman"/>
          <w:sz w:val="20"/>
          <w:szCs w:val="20"/>
        </w:rPr>
        <w:t xml:space="preserve">  </w:t>
      </w:r>
      <w:r w:rsidR="00246408" w:rsidRPr="000572AB">
        <w:rPr>
          <w:rFonts w:ascii="Times New Roman" w:hAnsi="Times New Roman"/>
          <w:sz w:val="20"/>
          <w:szCs w:val="20"/>
        </w:rPr>
        <w:t>86 244</w:t>
      </w:r>
      <w:r w:rsidRPr="000572AB">
        <w:rPr>
          <w:rFonts w:ascii="Times New Roman" w:hAnsi="Times New Roman"/>
          <w:sz w:val="20"/>
          <w:szCs w:val="20"/>
        </w:rPr>
        <w:t xml:space="preserve"> тис. грн</w:t>
      </w:r>
      <w:r w:rsidR="006E5FBD" w:rsidRPr="000572AB">
        <w:rPr>
          <w:rFonts w:ascii="Times New Roman" w:hAnsi="Times New Roman"/>
          <w:sz w:val="20"/>
          <w:szCs w:val="20"/>
        </w:rPr>
        <w:t>., а саме:</w:t>
      </w:r>
    </w:p>
    <w:p w:rsidR="006E5FBD" w:rsidRPr="000572AB" w:rsidRDefault="006E5FBD" w:rsidP="00D542E2">
      <w:pPr>
        <w:pStyle w:val="a2"/>
        <w:numPr>
          <w:ilvl w:val="0"/>
          <w:numId w:val="16"/>
        </w:numPr>
        <w:spacing w:after="0" w:line="240" w:lineRule="auto"/>
        <w:contextualSpacing/>
        <w:jc w:val="both"/>
        <w:rPr>
          <w:rFonts w:ascii="Times New Roman" w:hAnsi="Times New Roman"/>
          <w:sz w:val="20"/>
          <w:szCs w:val="20"/>
        </w:rPr>
      </w:pPr>
      <w:r w:rsidRPr="000572AB">
        <w:rPr>
          <w:rFonts w:ascii="Times New Roman" w:hAnsi="Times New Roman"/>
          <w:sz w:val="20"/>
          <w:szCs w:val="20"/>
        </w:rPr>
        <w:t>с</w:t>
      </w:r>
      <w:r w:rsidR="00637BA4" w:rsidRPr="000572AB">
        <w:rPr>
          <w:rFonts w:ascii="Times New Roman" w:hAnsi="Times New Roman"/>
          <w:sz w:val="20"/>
          <w:szCs w:val="20"/>
        </w:rPr>
        <w:t xml:space="preserve">татутний капітал – </w:t>
      </w:r>
      <w:r w:rsidR="00246408" w:rsidRPr="000572AB">
        <w:rPr>
          <w:rFonts w:ascii="Times New Roman" w:hAnsi="Times New Roman"/>
          <w:sz w:val="20"/>
          <w:szCs w:val="20"/>
        </w:rPr>
        <w:t>104</w:t>
      </w:r>
      <w:r w:rsidR="00467D6C" w:rsidRPr="000572AB">
        <w:rPr>
          <w:rFonts w:ascii="Times New Roman" w:hAnsi="Times New Roman"/>
          <w:sz w:val="20"/>
          <w:szCs w:val="20"/>
        </w:rPr>
        <w:t xml:space="preserve"> </w:t>
      </w:r>
      <w:r w:rsidR="00246408" w:rsidRPr="000572AB">
        <w:rPr>
          <w:rFonts w:ascii="Times New Roman" w:hAnsi="Times New Roman"/>
          <w:sz w:val="20"/>
          <w:szCs w:val="20"/>
        </w:rPr>
        <w:t>136</w:t>
      </w:r>
      <w:r w:rsidR="0053252C" w:rsidRPr="000572AB">
        <w:rPr>
          <w:rFonts w:ascii="Times New Roman" w:hAnsi="Times New Roman"/>
          <w:sz w:val="20"/>
          <w:szCs w:val="20"/>
        </w:rPr>
        <w:t xml:space="preserve"> тис. грн.</w:t>
      </w:r>
      <w:r w:rsidRPr="000572AB">
        <w:rPr>
          <w:rFonts w:ascii="Times New Roman" w:hAnsi="Times New Roman"/>
          <w:sz w:val="20"/>
          <w:szCs w:val="20"/>
        </w:rPr>
        <w:t>;</w:t>
      </w:r>
    </w:p>
    <w:p w:rsidR="00E30933" w:rsidRPr="000572AB" w:rsidRDefault="00E30933" w:rsidP="00D542E2">
      <w:pPr>
        <w:pStyle w:val="a2"/>
        <w:numPr>
          <w:ilvl w:val="0"/>
          <w:numId w:val="16"/>
        </w:numPr>
        <w:spacing w:after="0" w:line="240" w:lineRule="auto"/>
        <w:contextualSpacing/>
        <w:jc w:val="both"/>
        <w:rPr>
          <w:rFonts w:ascii="Times New Roman" w:hAnsi="Times New Roman"/>
          <w:sz w:val="20"/>
          <w:szCs w:val="20"/>
        </w:rPr>
      </w:pPr>
      <w:r w:rsidRPr="000572AB">
        <w:rPr>
          <w:rFonts w:ascii="Times New Roman" w:hAnsi="Times New Roman"/>
          <w:sz w:val="20"/>
          <w:szCs w:val="20"/>
        </w:rPr>
        <w:t>не</w:t>
      </w:r>
      <w:r w:rsidR="00246408" w:rsidRPr="000572AB">
        <w:rPr>
          <w:rFonts w:ascii="Times New Roman" w:hAnsi="Times New Roman"/>
          <w:sz w:val="20"/>
          <w:szCs w:val="20"/>
        </w:rPr>
        <w:t>покритий збиток</w:t>
      </w:r>
      <w:r w:rsidRPr="000572AB">
        <w:rPr>
          <w:rFonts w:ascii="Times New Roman" w:hAnsi="Times New Roman"/>
          <w:sz w:val="20"/>
          <w:szCs w:val="20"/>
        </w:rPr>
        <w:t xml:space="preserve"> – </w:t>
      </w:r>
      <w:r w:rsidR="00246408" w:rsidRPr="000572AB">
        <w:rPr>
          <w:rFonts w:ascii="Times New Roman" w:hAnsi="Times New Roman"/>
          <w:sz w:val="20"/>
          <w:szCs w:val="20"/>
        </w:rPr>
        <w:t xml:space="preserve">17 892 </w:t>
      </w:r>
      <w:r w:rsidRPr="000572AB">
        <w:rPr>
          <w:rFonts w:ascii="Times New Roman" w:hAnsi="Times New Roman"/>
          <w:sz w:val="20"/>
          <w:szCs w:val="20"/>
        </w:rPr>
        <w:t>тис. грн.</w:t>
      </w:r>
    </w:p>
    <w:p w:rsidR="003D19D4" w:rsidRPr="000572AB" w:rsidRDefault="003D19D4" w:rsidP="00D542E2">
      <w:pPr>
        <w:pStyle w:val="33"/>
        <w:spacing w:after="0"/>
        <w:ind w:left="0" w:firstLine="708"/>
        <w:jc w:val="both"/>
        <w:rPr>
          <w:sz w:val="20"/>
          <w:szCs w:val="20"/>
        </w:rPr>
      </w:pPr>
      <w:r w:rsidRPr="000572AB">
        <w:rPr>
          <w:sz w:val="20"/>
          <w:szCs w:val="20"/>
        </w:rPr>
        <w:t>Структура статті Власний капітал за 2016 - 2017 роки, може бути представлена таким чином:</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1"/>
        <w:gridCol w:w="2268"/>
        <w:gridCol w:w="2552"/>
      </w:tblGrid>
      <w:tr w:rsidR="003D19D4" w:rsidRPr="000572AB" w:rsidTr="00D542E2">
        <w:trPr>
          <w:trHeight w:val="505"/>
          <w:tblHeader/>
        </w:trPr>
        <w:tc>
          <w:tcPr>
            <w:tcW w:w="4551" w:type="dxa"/>
            <w:tcBorders>
              <w:top w:val="single" w:sz="4" w:space="0" w:color="auto"/>
              <w:left w:val="single" w:sz="4" w:space="0" w:color="auto"/>
              <w:bottom w:val="single" w:sz="4" w:space="0" w:color="auto"/>
              <w:right w:val="single" w:sz="4" w:space="0" w:color="auto"/>
            </w:tcBorders>
            <w:vAlign w:val="center"/>
            <w:hideMark/>
          </w:tcPr>
          <w:p w:rsidR="003D19D4" w:rsidRPr="000572AB" w:rsidRDefault="003D19D4" w:rsidP="00D542E2">
            <w:pPr>
              <w:spacing w:after="0" w:line="240" w:lineRule="auto"/>
              <w:rPr>
                <w:rFonts w:ascii="Times New Roman" w:hAnsi="Times New Roman"/>
                <w:b/>
                <w:bCs/>
                <w:sz w:val="20"/>
                <w:szCs w:val="20"/>
              </w:rPr>
            </w:pPr>
            <w:r w:rsidRPr="000572AB">
              <w:rPr>
                <w:rFonts w:ascii="Times New Roman" w:hAnsi="Times New Roman"/>
                <w:b/>
                <w:bCs/>
                <w:sz w:val="20"/>
                <w:szCs w:val="20"/>
              </w:rPr>
              <w:t>Вид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19D4" w:rsidRPr="000572AB" w:rsidRDefault="003D19D4" w:rsidP="00D542E2">
            <w:pPr>
              <w:spacing w:after="0" w:line="240" w:lineRule="auto"/>
              <w:jc w:val="center"/>
              <w:rPr>
                <w:rFonts w:ascii="Times New Roman" w:hAnsi="Times New Roman"/>
                <w:b/>
                <w:sz w:val="20"/>
                <w:szCs w:val="20"/>
              </w:rPr>
            </w:pPr>
            <w:r w:rsidRPr="000572AB">
              <w:rPr>
                <w:rFonts w:ascii="Times New Roman" w:hAnsi="Times New Roman"/>
                <w:b/>
                <w:sz w:val="20"/>
                <w:szCs w:val="20"/>
              </w:rPr>
              <w:t>На 31грудня 2016 року, тис. грн.</w:t>
            </w:r>
          </w:p>
        </w:tc>
        <w:tc>
          <w:tcPr>
            <w:tcW w:w="2552" w:type="dxa"/>
            <w:tcBorders>
              <w:top w:val="single" w:sz="4" w:space="0" w:color="auto"/>
              <w:left w:val="single" w:sz="4" w:space="0" w:color="auto"/>
              <w:bottom w:val="single" w:sz="4" w:space="0" w:color="auto"/>
              <w:right w:val="single" w:sz="4" w:space="0" w:color="auto"/>
            </w:tcBorders>
            <w:vAlign w:val="center"/>
            <w:hideMark/>
          </w:tcPr>
          <w:p w:rsidR="003D19D4" w:rsidRPr="000572AB" w:rsidRDefault="003D19D4" w:rsidP="00D542E2">
            <w:pPr>
              <w:spacing w:after="0" w:line="240" w:lineRule="auto"/>
              <w:jc w:val="center"/>
              <w:rPr>
                <w:rFonts w:ascii="Times New Roman" w:hAnsi="Times New Roman"/>
                <w:b/>
                <w:sz w:val="20"/>
                <w:szCs w:val="20"/>
              </w:rPr>
            </w:pPr>
            <w:r w:rsidRPr="000572AB">
              <w:rPr>
                <w:rFonts w:ascii="Times New Roman" w:hAnsi="Times New Roman"/>
                <w:b/>
                <w:sz w:val="20"/>
                <w:szCs w:val="20"/>
              </w:rPr>
              <w:t>На 31 грудня 2017 року, тис. грн.</w:t>
            </w:r>
          </w:p>
        </w:tc>
      </w:tr>
      <w:tr w:rsidR="003D19D4" w:rsidRPr="000572AB" w:rsidTr="00D542E2">
        <w:trPr>
          <w:trHeight w:val="255"/>
        </w:trPr>
        <w:tc>
          <w:tcPr>
            <w:tcW w:w="4551" w:type="dxa"/>
            <w:tcBorders>
              <w:top w:val="single" w:sz="4" w:space="0" w:color="auto"/>
              <w:left w:val="single" w:sz="4" w:space="0" w:color="auto"/>
              <w:bottom w:val="single" w:sz="4" w:space="0" w:color="auto"/>
              <w:right w:val="single" w:sz="4" w:space="0" w:color="auto"/>
            </w:tcBorders>
            <w:noWrap/>
            <w:vAlign w:val="center"/>
            <w:hideMark/>
          </w:tcPr>
          <w:p w:rsidR="003D19D4" w:rsidRPr="000572AB" w:rsidRDefault="003D19D4" w:rsidP="00D542E2">
            <w:pPr>
              <w:spacing w:after="0" w:line="240" w:lineRule="auto"/>
              <w:rPr>
                <w:rFonts w:ascii="Times New Roman" w:hAnsi="Times New Roman"/>
                <w:sz w:val="20"/>
                <w:szCs w:val="20"/>
              </w:rPr>
            </w:pPr>
            <w:r w:rsidRPr="000572AB">
              <w:rPr>
                <w:rFonts w:ascii="Times New Roman" w:hAnsi="Times New Roman"/>
                <w:sz w:val="20"/>
                <w:szCs w:val="20"/>
              </w:rPr>
              <w:t xml:space="preserve">Зареєстрований капітал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19D4" w:rsidRPr="000572AB" w:rsidRDefault="003D19D4" w:rsidP="00D542E2">
            <w:pPr>
              <w:spacing w:after="0" w:line="240" w:lineRule="auto"/>
              <w:jc w:val="right"/>
              <w:rPr>
                <w:rFonts w:ascii="Times New Roman" w:hAnsi="Times New Roman"/>
                <w:sz w:val="20"/>
                <w:szCs w:val="20"/>
              </w:rPr>
            </w:pPr>
            <w:r w:rsidRPr="000572AB">
              <w:rPr>
                <w:rFonts w:ascii="Times New Roman" w:hAnsi="Times New Roman"/>
                <w:sz w:val="20"/>
                <w:szCs w:val="20"/>
              </w:rPr>
              <w:t>104 136</w:t>
            </w:r>
          </w:p>
        </w:tc>
        <w:tc>
          <w:tcPr>
            <w:tcW w:w="2552" w:type="dxa"/>
            <w:tcBorders>
              <w:top w:val="single" w:sz="4" w:space="0" w:color="auto"/>
              <w:left w:val="single" w:sz="4" w:space="0" w:color="auto"/>
              <w:bottom w:val="single" w:sz="4" w:space="0" w:color="auto"/>
              <w:right w:val="single" w:sz="4" w:space="0" w:color="auto"/>
            </w:tcBorders>
            <w:vAlign w:val="center"/>
            <w:hideMark/>
          </w:tcPr>
          <w:p w:rsidR="003D19D4" w:rsidRPr="000572AB" w:rsidRDefault="003D19D4" w:rsidP="00D542E2">
            <w:pPr>
              <w:spacing w:after="0" w:line="240" w:lineRule="auto"/>
              <w:jc w:val="right"/>
              <w:rPr>
                <w:rFonts w:ascii="Times New Roman" w:hAnsi="Times New Roman"/>
                <w:sz w:val="20"/>
                <w:szCs w:val="20"/>
              </w:rPr>
            </w:pPr>
            <w:r w:rsidRPr="000572AB">
              <w:rPr>
                <w:rFonts w:ascii="Times New Roman" w:hAnsi="Times New Roman"/>
                <w:sz w:val="20"/>
                <w:szCs w:val="20"/>
              </w:rPr>
              <w:t>104 136</w:t>
            </w:r>
          </w:p>
        </w:tc>
      </w:tr>
      <w:tr w:rsidR="003D19D4" w:rsidRPr="000572AB" w:rsidTr="00D542E2">
        <w:trPr>
          <w:trHeight w:val="255"/>
        </w:trPr>
        <w:tc>
          <w:tcPr>
            <w:tcW w:w="4551" w:type="dxa"/>
            <w:tcBorders>
              <w:top w:val="single" w:sz="4" w:space="0" w:color="auto"/>
              <w:left w:val="single" w:sz="4" w:space="0" w:color="auto"/>
              <w:bottom w:val="single" w:sz="4" w:space="0" w:color="auto"/>
              <w:right w:val="single" w:sz="4" w:space="0" w:color="auto"/>
            </w:tcBorders>
            <w:noWrap/>
            <w:vAlign w:val="center"/>
            <w:hideMark/>
          </w:tcPr>
          <w:p w:rsidR="003D19D4" w:rsidRPr="000572AB" w:rsidRDefault="003D19D4" w:rsidP="00D542E2">
            <w:pPr>
              <w:spacing w:after="0" w:line="240" w:lineRule="auto"/>
              <w:rPr>
                <w:rFonts w:ascii="Times New Roman" w:hAnsi="Times New Roman"/>
                <w:sz w:val="20"/>
                <w:szCs w:val="20"/>
              </w:rPr>
            </w:pPr>
            <w:r w:rsidRPr="000572AB">
              <w:rPr>
                <w:rFonts w:ascii="Times New Roman" w:hAnsi="Times New Roman"/>
                <w:sz w:val="20"/>
                <w:szCs w:val="20"/>
              </w:rPr>
              <w:t>Непокритий збиток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19D4" w:rsidRPr="000572AB" w:rsidRDefault="003D19D4" w:rsidP="00D542E2">
            <w:pPr>
              <w:spacing w:after="0" w:line="240" w:lineRule="auto"/>
              <w:jc w:val="right"/>
              <w:rPr>
                <w:rFonts w:ascii="Times New Roman" w:hAnsi="Times New Roman"/>
                <w:sz w:val="20"/>
                <w:szCs w:val="20"/>
              </w:rPr>
            </w:pPr>
            <w:r w:rsidRPr="000572AB">
              <w:rPr>
                <w:rFonts w:ascii="Times New Roman" w:hAnsi="Times New Roman"/>
                <w:sz w:val="20"/>
                <w:szCs w:val="20"/>
              </w:rPr>
              <w:t>(18 194)</w:t>
            </w:r>
          </w:p>
        </w:tc>
        <w:tc>
          <w:tcPr>
            <w:tcW w:w="2552" w:type="dxa"/>
            <w:tcBorders>
              <w:top w:val="single" w:sz="4" w:space="0" w:color="auto"/>
              <w:left w:val="single" w:sz="4" w:space="0" w:color="auto"/>
              <w:bottom w:val="single" w:sz="4" w:space="0" w:color="auto"/>
              <w:right w:val="single" w:sz="4" w:space="0" w:color="auto"/>
            </w:tcBorders>
            <w:vAlign w:val="center"/>
            <w:hideMark/>
          </w:tcPr>
          <w:p w:rsidR="003D19D4" w:rsidRPr="000572AB" w:rsidRDefault="003D19D4" w:rsidP="00D542E2">
            <w:pPr>
              <w:spacing w:after="0" w:line="240" w:lineRule="auto"/>
              <w:jc w:val="right"/>
              <w:rPr>
                <w:rFonts w:ascii="Times New Roman" w:hAnsi="Times New Roman"/>
                <w:sz w:val="20"/>
                <w:szCs w:val="20"/>
              </w:rPr>
            </w:pPr>
            <w:r w:rsidRPr="000572AB">
              <w:rPr>
                <w:rFonts w:ascii="Times New Roman" w:hAnsi="Times New Roman"/>
                <w:sz w:val="20"/>
                <w:szCs w:val="20"/>
              </w:rPr>
              <w:t>(17 892)</w:t>
            </w:r>
          </w:p>
        </w:tc>
      </w:tr>
      <w:tr w:rsidR="003D19D4" w:rsidRPr="000572AB" w:rsidTr="00D542E2">
        <w:trPr>
          <w:trHeight w:val="255"/>
        </w:trPr>
        <w:tc>
          <w:tcPr>
            <w:tcW w:w="4551" w:type="dxa"/>
            <w:tcBorders>
              <w:top w:val="single" w:sz="4" w:space="0" w:color="auto"/>
              <w:left w:val="single" w:sz="4" w:space="0" w:color="auto"/>
              <w:bottom w:val="single" w:sz="4" w:space="0" w:color="auto"/>
              <w:right w:val="single" w:sz="4" w:space="0" w:color="auto"/>
            </w:tcBorders>
            <w:noWrap/>
            <w:vAlign w:val="bottom"/>
            <w:hideMark/>
          </w:tcPr>
          <w:p w:rsidR="003D19D4" w:rsidRPr="000572AB" w:rsidRDefault="003D19D4" w:rsidP="00D542E2">
            <w:pPr>
              <w:spacing w:after="0" w:line="240" w:lineRule="auto"/>
              <w:rPr>
                <w:rFonts w:ascii="Times New Roman" w:hAnsi="Times New Roman"/>
                <w:b/>
                <w:bCs/>
                <w:sz w:val="20"/>
                <w:szCs w:val="20"/>
              </w:rPr>
            </w:pPr>
            <w:r w:rsidRPr="000572AB">
              <w:rPr>
                <w:rFonts w:ascii="Times New Roman" w:hAnsi="Times New Roman"/>
                <w:b/>
                <w:bCs/>
                <w:sz w:val="20"/>
                <w:szCs w:val="20"/>
              </w:rPr>
              <w:t>Всього</w:t>
            </w:r>
          </w:p>
        </w:tc>
        <w:tc>
          <w:tcPr>
            <w:tcW w:w="2268" w:type="dxa"/>
            <w:tcBorders>
              <w:top w:val="single" w:sz="4" w:space="0" w:color="auto"/>
              <w:left w:val="single" w:sz="4" w:space="0" w:color="auto"/>
              <w:bottom w:val="single" w:sz="4" w:space="0" w:color="auto"/>
              <w:right w:val="single" w:sz="4" w:space="0" w:color="auto"/>
            </w:tcBorders>
            <w:hideMark/>
          </w:tcPr>
          <w:p w:rsidR="003D19D4" w:rsidRPr="000572AB" w:rsidRDefault="003D19D4" w:rsidP="00D542E2">
            <w:pPr>
              <w:spacing w:after="0" w:line="240" w:lineRule="auto"/>
              <w:jc w:val="right"/>
              <w:rPr>
                <w:rFonts w:ascii="Times New Roman" w:hAnsi="Times New Roman"/>
                <w:b/>
                <w:bCs/>
                <w:sz w:val="20"/>
                <w:szCs w:val="20"/>
              </w:rPr>
            </w:pPr>
            <w:r w:rsidRPr="000572AB">
              <w:rPr>
                <w:rFonts w:ascii="Times New Roman" w:hAnsi="Times New Roman"/>
                <w:b/>
                <w:bCs/>
                <w:sz w:val="20"/>
                <w:szCs w:val="20"/>
              </w:rPr>
              <w:t>85 942</w:t>
            </w:r>
          </w:p>
        </w:tc>
        <w:tc>
          <w:tcPr>
            <w:tcW w:w="2552" w:type="dxa"/>
            <w:tcBorders>
              <w:top w:val="single" w:sz="4" w:space="0" w:color="auto"/>
              <w:left w:val="single" w:sz="4" w:space="0" w:color="auto"/>
              <w:bottom w:val="single" w:sz="4" w:space="0" w:color="auto"/>
              <w:right w:val="single" w:sz="4" w:space="0" w:color="auto"/>
            </w:tcBorders>
            <w:hideMark/>
          </w:tcPr>
          <w:p w:rsidR="003D19D4" w:rsidRPr="000572AB" w:rsidRDefault="003D19D4" w:rsidP="00D542E2">
            <w:pPr>
              <w:spacing w:after="0" w:line="240" w:lineRule="auto"/>
              <w:jc w:val="right"/>
              <w:rPr>
                <w:rFonts w:ascii="Times New Roman" w:hAnsi="Times New Roman"/>
                <w:b/>
                <w:bCs/>
                <w:sz w:val="20"/>
                <w:szCs w:val="20"/>
              </w:rPr>
            </w:pPr>
            <w:r w:rsidRPr="000572AB">
              <w:rPr>
                <w:rFonts w:ascii="Times New Roman" w:hAnsi="Times New Roman"/>
                <w:b/>
                <w:bCs/>
                <w:sz w:val="20"/>
                <w:szCs w:val="20"/>
              </w:rPr>
              <w:t>86 244</w:t>
            </w:r>
          </w:p>
        </w:tc>
      </w:tr>
    </w:tbl>
    <w:p w:rsidR="00570BD8" w:rsidRPr="000572AB" w:rsidRDefault="00570BD8" w:rsidP="00D542E2">
      <w:pPr>
        <w:spacing w:after="0"/>
        <w:ind w:left="1069"/>
        <w:jc w:val="both"/>
        <w:rPr>
          <w:rFonts w:ascii="Times New Roman" w:hAnsi="Times New Roman"/>
          <w:b/>
          <w:sz w:val="20"/>
          <w:szCs w:val="20"/>
        </w:rPr>
      </w:pPr>
      <w:r w:rsidRPr="000572AB">
        <w:rPr>
          <w:rFonts w:ascii="Times New Roman" w:hAnsi="Times New Roman"/>
          <w:b/>
          <w:sz w:val="20"/>
          <w:szCs w:val="20"/>
        </w:rPr>
        <w:t>18.8. Довгострокові зобов’язання і забезпечення</w:t>
      </w:r>
      <w:r w:rsidR="00D542E2" w:rsidRPr="000572AB">
        <w:rPr>
          <w:rFonts w:ascii="Times New Roman" w:hAnsi="Times New Roman"/>
          <w:b/>
          <w:sz w:val="20"/>
          <w:szCs w:val="20"/>
        </w:rPr>
        <w:t>.</w:t>
      </w:r>
    </w:p>
    <w:p w:rsidR="00570BD8" w:rsidRPr="000572AB" w:rsidRDefault="00570BD8" w:rsidP="00D542E2">
      <w:pPr>
        <w:pStyle w:val="210"/>
        <w:rPr>
          <w:rFonts w:ascii="Times New Roman" w:hAnsi="Times New Roman"/>
          <w:b w:val="0"/>
          <w:sz w:val="20"/>
        </w:rPr>
      </w:pPr>
      <w:r w:rsidRPr="000572AB">
        <w:rPr>
          <w:rFonts w:ascii="Times New Roman" w:hAnsi="Times New Roman"/>
          <w:b w:val="0"/>
          <w:sz w:val="20"/>
        </w:rPr>
        <w:t>Товариство має непоточні зобов’язання</w:t>
      </w:r>
      <w:r w:rsidR="00E53259" w:rsidRPr="000572AB">
        <w:rPr>
          <w:rFonts w:ascii="Times New Roman" w:hAnsi="Times New Roman"/>
          <w:b w:val="0"/>
          <w:sz w:val="20"/>
        </w:rPr>
        <w:t xml:space="preserve"> на загальну суму  188 091 тис.грн., які складаються з :</w:t>
      </w:r>
    </w:p>
    <w:p w:rsidR="00E53259" w:rsidRPr="000572AB" w:rsidRDefault="00570BD8" w:rsidP="00D542E2">
      <w:pPr>
        <w:pStyle w:val="210"/>
        <w:numPr>
          <w:ilvl w:val="0"/>
          <w:numId w:val="37"/>
        </w:numPr>
        <w:rPr>
          <w:rFonts w:ascii="Times New Roman" w:hAnsi="Times New Roman"/>
          <w:b w:val="0"/>
          <w:sz w:val="20"/>
        </w:rPr>
      </w:pPr>
      <w:r w:rsidRPr="000572AB">
        <w:rPr>
          <w:rFonts w:ascii="Times New Roman" w:hAnsi="Times New Roman"/>
          <w:b w:val="0"/>
          <w:sz w:val="20"/>
        </w:rPr>
        <w:t xml:space="preserve">довгострокових кредитів банків у розмірі </w:t>
      </w:r>
      <w:r w:rsidR="00E53259" w:rsidRPr="000572AB">
        <w:rPr>
          <w:rFonts w:ascii="Times New Roman" w:hAnsi="Times New Roman"/>
          <w:b w:val="0"/>
          <w:sz w:val="20"/>
        </w:rPr>
        <w:t>38 814 ти</w:t>
      </w:r>
      <w:r w:rsidRPr="000572AB">
        <w:rPr>
          <w:rFonts w:ascii="Times New Roman" w:hAnsi="Times New Roman"/>
          <w:b w:val="0"/>
          <w:sz w:val="20"/>
        </w:rPr>
        <w:t>с.грн</w:t>
      </w:r>
    </w:p>
    <w:p w:rsidR="00570BD8" w:rsidRPr="000572AB" w:rsidRDefault="00570BD8" w:rsidP="00D542E2">
      <w:pPr>
        <w:pStyle w:val="210"/>
        <w:numPr>
          <w:ilvl w:val="0"/>
          <w:numId w:val="37"/>
        </w:numPr>
        <w:rPr>
          <w:rFonts w:ascii="Times New Roman" w:hAnsi="Times New Roman"/>
          <w:b w:val="0"/>
          <w:sz w:val="20"/>
        </w:rPr>
      </w:pPr>
      <w:r w:rsidRPr="000572AB">
        <w:rPr>
          <w:rFonts w:ascii="Times New Roman" w:hAnsi="Times New Roman"/>
          <w:b w:val="0"/>
          <w:sz w:val="20"/>
        </w:rPr>
        <w:t xml:space="preserve"> </w:t>
      </w:r>
      <w:r w:rsidR="00E53259" w:rsidRPr="000572AB">
        <w:rPr>
          <w:rFonts w:ascii="Times New Roman" w:hAnsi="Times New Roman"/>
          <w:b w:val="0"/>
          <w:sz w:val="20"/>
        </w:rPr>
        <w:t xml:space="preserve">зобов’язань за облігаціями у розмірі  149 277 </w:t>
      </w:r>
      <w:r w:rsidRPr="000572AB">
        <w:rPr>
          <w:rFonts w:ascii="Times New Roman" w:hAnsi="Times New Roman"/>
          <w:b w:val="0"/>
          <w:sz w:val="20"/>
        </w:rPr>
        <w:t>тис.грн.</w:t>
      </w:r>
    </w:p>
    <w:p w:rsidR="00E53259" w:rsidRPr="000572AB" w:rsidRDefault="00E53259" w:rsidP="00D542E2">
      <w:pPr>
        <w:jc w:val="both"/>
        <w:rPr>
          <w:rFonts w:ascii="Times New Roman" w:hAnsi="Times New Roman"/>
          <w:sz w:val="20"/>
          <w:szCs w:val="20"/>
        </w:rPr>
      </w:pPr>
      <w:r w:rsidRPr="000572AB">
        <w:rPr>
          <w:rFonts w:ascii="Times New Roman" w:hAnsi="Times New Roman"/>
          <w:sz w:val="20"/>
          <w:szCs w:val="20"/>
        </w:rPr>
        <w:t>Довгострокові зобов’язання станом на 31 грудня 2016 року та 31 грудня 2017 року мала наступний вигляд:</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8"/>
        <w:gridCol w:w="2123"/>
        <w:gridCol w:w="2127"/>
      </w:tblGrid>
      <w:tr w:rsidR="00E53259" w:rsidRPr="000572AB" w:rsidTr="00D542E2">
        <w:trPr>
          <w:trHeight w:val="57"/>
        </w:trPr>
        <w:tc>
          <w:tcPr>
            <w:tcW w:w="5248" w:type="dxa"/>
            <w:tcBorders>
              <w:top w:val="single" w:sz="4" w:space="0" w:color="auto"/>
              <w:left w:val="single" w:sz="4" w:space="0" w:color="auto"/>
              <w:bottom w:val="single" w:sz="4" w:space="0" w:color="auto"/>
              <w:right w:val="single" w:sz="4" w:space="0" w:color="auto"/>
            </w:tcBorders>
            <w:vAlign w:val="center"/>
            <w:hideMark/>
          </w:tcPr>
          <w:p w:rsidR="00E53259" w:rsidRPr="000572AB" w:rsidRDefault="00E53259" w:rsidP="00D542E2">
            <w:pPr>
              <w:spacing w:after="0" w:line="240" w:lineRule="auto"/>
              <w:jc w:val="both"/>
              <w:rPr>
                <w:rFonts w:ascii="Times New Roman" w:hAnsi="Times New Roman"/>
                <w:sz w:val="20"/>
                <w:szCs w:val="20"/>
              </w:rPr>
            </w:pPr>
            <w:r w:rsidRPr="000572AB">
              <w:rPr>
                <w:rFonts w:ascii="Times New Roman" w:hAnsi="Times New Roman"/>
                <w:b/>
                <w:sz w:val="20"/>
                <w:szCs w:val="20"/>
              </w:rPr>
              <w:t>Вид зобов’язання</w:t>
            </w:r>
          </w:p>
        </w:tc>
        <w:tc>
          <w:tcPr>
            <w:tcW w:w="2123" w:type="dxa"/>
            <w:tcBorders>
              <w:top w:val="single" w:sz="4" w:space="0" w:color="auto"/>
              <w:left w:val="single" w:sz="4" w:space="0" w:color="auto"/>
              <w:bottom w:val="single" w:sz="4" w:space="0" w:color="auto"/>
              <w:right w:val="single" w:sz="4" w:space="0" w:color="auto"/>
            </w:tcBorders>
            <w:vAlign w:val="center"/>
            <w:hideMark/>
          </w:tcPr>
          <w:p w:rsidR="00E53259" w:rsidRPr="000572AB" w:rsidRDefault="00E53259" w:rsidP="00D542E2">
            <w:pPr>
              <w:spacing w:after="0" w:line="240" w:lineRule="auto"/>
              <w:jc w:val="center"/>
              <w:rPr>
                <w:rFonts w:ascii="Times New Roman" w:hAnsi="Times New Roman"/>
                <w:b/>
                <w:sz w:val="20"/>
                <w:szCs w:val="20"/>
              </w:rPr>
            </w:pPr>
            <w:r w:rsidRPr="000572AB">
              <w:rPr>
                <w:rFonts w:ascii="Times New Roman" w:hAnsi="Times New Roman"/>
                <w:b/>
                <w:sz w:val="20"/>
                <w:szCs w:val="20"/>
              </w:rPr>
              <w:t>На 31грудня 2016 року, тис. грн.</w:t>
            </w:r>
          </w:p>
        </w:tc>
        <w:tc>
          <w:tcPr>
            <w:tcW w:w="2127" w:type="dxa"/>
            <w:tcBorders>
              <w:top w:val="single" w:sz="4" w:space="0" w:color="auto"/>
              <w:left w:val="single" w:sz="4" w:space="0" w:color="auto"/>
              <w:bottom w:val="single" w:sz="4" w:space="0" w:color="auto"/>
              <w:right w:val="single" w:sz="4" w:space="0" w:color="auto"/>
            </w:tcBorders>
            <w:hideMark/>
          </w:tcPr>
          <w:p w:rsidR="00E53259" w:rsidRPr="000572AB" w:rsidRDefault="00E53259" w:rsidP="00D542E2">
            <w:pPr>
              <w:spacing w:after="0" w:line="240" w:lineRule="auto"/>
              <w:jc w:val="center"/>
              <w:rPr>
                <w:rFonts w:ascii="Times New Roman" w:hAnsi="Times New Roman"/>
                <w:b/>
                <w:sz w:val="20"/>
                <w:szCs w:val="20"/>
              </w:rPr>
            </w:pPr>
            <w:r w:rsidRPr="000572AB">
              <w:rPr>
                <w:rFonts w:ascii="Times New Roman" w:hAnsi="Times New Roman"/>
                <w:b/>
                <w:sz w:val="20"/>
                <w:szCs w:val="20"/>
              </w:rPr>
              <w:t>На 31 грудня 2017 року, тис. грн.</w:t>
            </w:r>
          </w:p>
        </w:tc>
      </w:tr>
      <w:tr w:rsidR="00E53259" w:rsidRPr="000572AB" w:rsidTr="00D542E2">
        <w:trPr>
          <w:trHeight w:val="57"/>
        </w:trPr>
        <w:tc>
          <w:tcPr>
            <w:tcW w:w="5248" w:type="dxa"/>
            <w:tcBorders>
              <w:top w:val="single" w:sz="4" w:space="0" w:color="auto"/>
              <w:left w:val="single" w:sz="4" w:space="0" w:color="auto"/>
              <w:bottom w:val="single" w:sz="4" w:space="0" w:color="auto"/>
              <w:right w:val="single" w:sz="4" w:space="0" w:color="auto"/>
            </w:tcBorders>
            <w:hideMark/>
          </w:tcPr>
          <w:p w:rsidR="00E53259" w:rsidRPr="000572AB" w:rsidRDefault="00E53259" w:rsidP="00D542E2">
            <w:pPr>
              <w:spacing w:after="0" w:line="240" w:lineRule="auto"/>
              <w:rPr>
                <w:rFonts w:ascii="Times New Roman" w:hAnsi="Times New Roman"/>
                <w:sz w:val="20"/>
                <w:szCs w:val="20"/>
              </w:rPr>
            </w:pPr>
            <w:r w:rsidRPr="000572AB">
              <w:rPr>
                <w:rFonts w:ascii="Times New Roman" w:hAnsi="Times New Roman"/>
                <w:sz w:val="20"/>
                <w:szCs w:val="20"/>
              </w:rPr>
              <w:t>Довгострокові кредити банків</w:t>
            </w:r>
          </w:p>
        </w:tc>
        <w:tc>
          <w:tcPr>
            <w:tcW w:w="2123" w:type="dxa"/>
            <w:tcBorders>
              <w:top w:val="single" w:sz="4" w:space="0" w:color="auto"/>
              <w:left w:val="single" w:sz="4" w:space="0" w:color="auto"/>
              <w:bottom w:val="single" w:sz="4" w:space="0" w:color="auto"/>
              <w:right w:val="single" w:sz="4" w:space="0" w:color="auto"/>
            </w:tcBorders>
            <w:vAlign w:val="center"/>
            <w:hideMark/>
          </w:tcPr>
          <w:p w:rsidR="00E53259" w:rsidRPr="000572AB" w:rsidRDefault="00E53259" w:rsidP="00D542E2">
            <w:pPr>
              <w:spacing w:after="0" w:line="240" w:lineRule="auto"/>
              <w:jc w:val="right"/>
              <w:rPr>
                <w:rFonts w:ascii="Times New Roman" w:hAnsi="Times New Roman"/>
                <w:sz w:val="20"/>
                <w:szCs w:val="20"/>
              </w:rPr>
            </w:pPr>
            <w:r w:rsidRPr="000572AB">
              <w:rPr>
                <w:rFonts w:ascii="Times New Roman" w:hAnsi="Times New Roman"/>
                <w:sz w:val="20"/>
                <w:szCs w:val="20"/>
              </w:rPr>
              <w:t>95 399</w:t>
            </w:r>
          </w:p>
        </w:tc>
        <w:tc>
          <w:tcPr>
            <w:tcW w:w="2127" w:type="dxa"/>
            <w:tcBorders>
              <w:top w:val="single" w:sz="4" w:space="0" w:color="auto"/>
              <w:left w:val="single" w:sz="4" w:space="0" w:color="auto"/>
              <w:bottom w:val="single" w:sz="4" w:space="0" w:color="auto"/>
              <w:right w:val="single" w:sz="4" w:space="0" w:color="auto"/>
            </w:tcBorders>
            <w:vAlign w:val="center"/>
            <w:hideMark/>
          </w:tcPr>
          <w:p w:rsidR="00E53259" w:rsidRPr="000572AB" w:rsidRDefault="00E53259" w:rsidP="00D542E2">
            <w:pPr>
              <w:spacing w:after="0" w:line="240" w:lineRule="auto"/>
              <w:jc w:val="right"/>
              <w:rPr>
                <w:rFonts w:ascii="Times New Roman" w:hAnsi="Times New Roman"/>
                <w:sz w:val="20"/>
                <w:szCs w:val="20"/>
              </w:rPr>
            </w:pPr>
            <w:r w:rsidRPr="000572AB">
              <w:rPr>
                <w:rFonts w:ascii="Times New Roman" w:hAnsi="Times New Roman"/>
                <w:sz w:val="20"/>
                <w:szCs w:val="20"/>
              </w:rPr>
              <w:t>38 814</w:t>
            </w:r>
          </w:p>
        </w:tc>
      </w:tr>
      <w:tr w:rsidR="00E53259" w:rsidRPr="000572AB" w:rsidTr="00D542E2">
        <w:trPr>
          <w:trHeight w:val="171"/>
        </w:trPr>
        <w:tc>
          <w:tcPr>
            <w:tcW w:w="5248" w:type="dxa"/>
            <w:tcBorders>
              <w:top w:val="single" w:sz="4" w:space="0" w:color="auto"/>
              <w:left w:val="single" w:sz="4" w:space="0" w:color="auto"/>
              <w:bottom w:val="single" w:sz="4" w:space="0" w:color="auto"/>
              <w:right w:val="single" w:sz="4" w:space="0" w:color="auto"/>
            </w:tcBorders>
            <w:hideMark/>
          </w:tcPr>
          <w:p w:rsidR="00E53259" w:rsidRPr="000572AB" w:rsidRDefault="00E53259" w:rsidP="00D542E2">
            <w:pPr>
              <w:spacing w:after="0" w:line="240" w:lineRule="auto"/>
              <w:rPr>
                <w:rFonts w:ascii="Times New Roman" w:hAnsi="Times New Roman"/>
                <w:sz w:val="20"/>
                <w:szCs w:val="20"/>
              </w:rPr>
            </w:pPr>
            <w:r w:rsidRPr="000572AB">
              <w:rPr>
                <w:rFonts w:ascii="Times New Roman" w:hAnsi="Times New Roman"/>
                <w:sz w:val="20"/>
                <w:szCs w:val="20"/>
              </w:rPr>
              <w:t>Зобов’язання за облігаціями</w:t>
            </w:r>
          </w:p>
        </w:tc>
        <w:tc>
          <w:tcPr>
            <w:tcW w:w="2123" w:type="dxa"/>
            <w:tcBorders>
              <w:top w:val="single" w:sz="4" w:space="0" w:color="auto"/>
              <w:left w:val="single" w:sz="4" w:space="0" w:color="auto"/>
              <w:bottom w:val="single" w:sz="4" w:space="0" w:color="auto"/>
              <w:right w:val="single" w:sz="4" w:space="0" w:color="auto"/>
            </w:tcBorders>
            <w:vAlign w:val="center"/>
            <w:hideMark/>
          </w:tcPr>
          <w:p w:rsidR="00E53259" w:rsidRPr="000572AB" w:rsidRDefault="00E53259" w:rsidP="00D542E2">
            <w:pPr>
              <w:spacing w:after="0" w:line="240" w:lineRule="auto"/>
              <w:jc w:val="right"/>
              <w:rPr>
                <w:rFonts w:ascii="Times New Roman" w:hAnsi="Times New Roman"/>
                <w:sz w:val="20"/>
                <w:szCs w:val="20"/>
              </w:rPr>
            </w:pPr>
            <w:r w:rsidRPr="000572AB">
              <w:rPr>
                <w:rFonts w:ascii="Times New Roman" w:hAnsi="Times New Roman"/>
                <w:sz w:val="20"/>
                <w:szCs w:val="20"/>
              </w:rPr>
              <w:t>114 681</w:t>
            </w:r>
          </w:p>
        </w:tc>
        <w:tc>
          <w:tcPr>
            <w:tcW w:w="2127" w:type="dxa"/>
            <w:tcBorders>
              <w:top w:val="single" w:sz="4" w:space="0" w:color="auto"/>
              <w:left w:val="single" w:sz="4" w:space="0" w:color="auto"/>
              <w:bottom w:val="single" w:sz="4" w:space="0" w:color="auto"/>
              <w:right w:val="single" w:sz="4" w:space="0" w:color="auto"/>
            </w:tcBorders>
            <w:vAlign w:val="center"/>
            <w:hideMark/>
          </w:tcPr>
          <w:p w:rsidR="00E53259" w:rsidRPr="000572AB" w:rsidRDefault="00E53259" w:rsidP="00D542E2">
            <w:pPr>
              <w:spacing w:after="0" w:line="240" w:lineRule="auto"/>
              <w:jc w:val="right"/>
              <w:rPr>
                <w:rFonts w:ascii="Times New Roman" w:hAnsi="Times New Roman"/>
                <w:sz w:val="20"/>
                <w:szCs w:val="20"/>
              </w:rPr>
            </w:pPr>
            <w:r w:rsidRPr="000572AB">
              <w:rPr>
                <w:rFonts w:ascii="Times New Roman" w:hAnsi="Times New Roman"/>
                <w:sz w:val="20"/>
                <w:szCs w:val="20"/>
              </w:rPr>
              <w:t>149 277</w:t>
            </w:r>
          </w:p>
        </w:tc>
      </w:tr>
      <w:tr w:rsidR="00E53259" w:rsidRPr="000572AB" w:rsidTr="00D542E2">
        <w:trPr>
          <w:trHeight w:val="57"/>
        </w:trPr>
        <w:tc>
          <w:tcPr>
            <w:tcW w:w="5248" w:type="dxa"/>
            <w:tcBorders>
              <w:top w:val="single" w:sz="4" w:space="0" w:color="auto"/>
              <w:left w:val="single" w:sz="4" w:space="0" w:color="auto"/>
              <w:bottom w:val="single" w:sz="4" w:space="0" w:color="auto"/>
              <w:right w:val="single" w:sz="4" w:space="0" w:color="auto"/>
            </w:tcBorders>
            <w:vAlign w:val="center"/>
            <w:hideMark/>
          </w:tcPr>
          <w:p w:rsidR="00E53259" w:rsidRPr="000572AB" w:rsidRDefault="00E53259" w:rsidP="00D542E2">
            <w:pPr>
              <w:spacing w:after="0" w:line="240" w:lineRule="auto"/>
              <w:rPr>
                <w:rFonts w:ascii="Times New Roman" w:hAnsi="Times New Roman"/>
                <w:b/>
                <w:bCs/>
                <w:sz w:val="20"/>
                <w:szCs w:val="20"/>
              </w:rPr>
            </w:pPr>
            <w:r w:rsidRPr="000572AB">
              <w:rPr>
                <w:rFonts w:ascii="Times New Roman" w:hAnsi="Times New Roman"/>
                <w:b/>
                <w:bCs/>
                <w:sz w:val="20"/>
                <w:szCs w:val="20"/>
              </w:rPr>
              <w:t>Всього</w:t>
            </w:r>
          </w:p>
        </w:tc>
        <w:tc>
          <w:tcPr>
            <w:tcW w:w="2123" w:type="dxa"/>
            <w:tcBorders>
              <w:top w:val="single" w:sz="4" w:space="0" w:color="auto"/>
              <w:left w:val="single" w:sz="4" w:space="0" w:color="auto"/>
              <w:bottom w:val="single" w:sz="4" w:space="0" w:color="auto"/>
              <w:right w:val="single" w:sz="4" w:space="0" w:color="auto"/>
            </w:tcBorders>
            <w:vAlign w:val="center"/>
            <w:hideMark/>
          </w:tcPr>
          <w:p w:rsidR="00E53259" w:rsidRPr="000572AB" w:rsidRDefault="00E53259" w:rsidP="00D542E2">
            <w:pPr>
              <w:spacing w:after="0" w:line="240" w:lineRule="auto"/>
              <w:jc w:val="right"/>
              <w:rPr>
                <w:rFonts w:ascii="Times New Roman" w:hAnsi="Times New Roman"/>
                <w:b/>
                <w:bCs/>
                <w:sz w:val="20"/>
                <w:szCs w:val="20"/>
                <w:lang w:val="ru-RU"/>
              </w:rPr>
            </w:pPr>
            <w:r w:rsidRPr="000572AB">
              <w:rPr>
                <w:rFonts w:ascii="Times New Roman" w:hAnsi="Times New Roman"/>
                <w:b/>
                <w:bCs/>
                <w:sz w:val="20"/>
                <w:szCs w:val="20"/>
                <w:lang w:val="ru-RU"/>
              </w:rPr>
              <w:t>198 312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E53259" w:rsidRPr="000572AB" w:rsidRDefault="00E53259" w:rsidP="00D542E2">
            <w:pPr>
              <w:spacing w:after="0" w:line="240" w:lineRule="auto"/>
              <w:jc w:val="right"/>
              <w:rPr>
                <w:rFonts w:ascii="Times New Roman" w:hAnsi="Times New Roman"/>
                <w:b/>
                <w:bCs/>
                <w:sz w:val="20"/>
                <w:szCs w:val="20"/>
                <w:lang w:val="ru-RU"/>
              </w:rPr>
            </w:pPr>
            <w:r w:rsidRPr="000572AB">
              <w:rPr>
                <w:rFonts w:ascii="Times New Roman" w:hAnsi="Times New Roman"/>
                <w:b/>
                <w:bCs/>
                <w:sz w:val="20"/>
                <w:szCs w:val="20"/>
                <w:lang w:val="ru-RU"/>
              </w:rPr>
              <w:t>248 262</w:t>
            </w:r>
          </w:p>
        </w:tc>
      </w:tr>
    </w:tbl>
    <w:p w:rsidR="00E53259" w:rsidRPr="000572AB" w:rsidRDefault="00E53259" w:rsidP="00D542E2">
      <w:pPr>
        <w:pStyle w:val="210"/>
        <w:ind w:left="1080" w:firstLine="0"/>
        <w:rPr>
          <w:rFonts w:ascii="Times New Roman" w:hAnsi="Times New Roman"/>
          <w:b w:val="0"/>
          <w:sz w:val="20"/>
        </w:rPr>
      </w:pPr>
    </w:p>
    <w:p w:rsidR="00570BD8" w:rsidRPr="000572AB" w:rsidRDefault="00570BD8" w:rsidP="00D542E2">
      <w:pPr>
        <w:pStyle w:val="210"/>
        <w:rPr>
          <w:rFonts w:ascii="Times New Roman" w:hAnsi="Times New Roman"/>
          <w:b w:val="0"/>
          <w:sz w:val="20"/>
        </w:rPr>
      </w:pPr>
      <w:r w:rsidRPr="000572AB">
        <w:rPr>
          <w:rFonts w:ascii="Times New Roman" w:hAnsi="Times New Roman"/>
          <w:b w:val="0"/>
          <w:sz w:val="20"/>
        </w:rPr>
        <w:t>Як інші довгострокові фінансові зобов’язання Підприємство обліковує  зобов’язання за облігаціями з терміном оплати більше року. Зобов’язання відображені за  амортизованою собівартістю. Основні характеристики випуску облігацій наведено в таблиці.</w:t>
      </w:r>
    </w:p>
    <w:tbl>
      <w:tblPr>
        <w:tblW w:w="0" w:type="auto"/>
        <w:tblInd w:w="108" w:type="dxa"/>
        <w:tblBorders>
          <w:top w:val="single" w:sz="8" w:space="0" w:color="4F81BD"/>
          <w:left w:val="single" w:sz="8" w:space="0" w:color="4F81BD"/>
          <w:bottom w:val="single" w:sz="8" w:space="0" w:color="4F81BD"/>
          <w:right w:val="single" w:sz="8" w:space="0" w:color="4F81BD"/>
        </w:tblBorders>
        <w:tblLook w:val="04A0"/>
      </w:tblPr>
      <w:tblGrid>
        <w:gridCol w:w="4678"/>
        <w:gridCol w:w="4740"/>
      </w:tblGrid>
      <w:tr w:rsidR="00570BD8" w:rsidRPr="000572AB" w:rsidTr="00E53259">
        <w:trPr>
          <w:trHeight w:val="227"/>
        </w:trPr>
        <w:tc>
          <w:tcPr>
            <w:tcW w:w="4678" w:type="dxa"/>
            <w:tcBorders>
              <w:top w:val="single" w:sz="8" w:space="0" w:color="4F81BD"/>
              <w:left w:val="single" w:sz="8" w:space="0" w:color="4F81BD"/>
              <w:bottom w:val="single" w:sz="8" w:space="0" w:color="4F81BD"/>
            </w:tcBorders>
            <w:shd w:val="clear" w:color="auto" w:fill="auto"/>
          </w:tcPr>
          <w:p w:rsidR="00570BD8" w:rsidRPr="000572AB" w:rsidRDefault="00570BD8" w:rsidP="00D542E2">
            <w:pPr>
              <w:keepNext/>
              <w:spacing w:line="240" w:lineRule="auto"/>
              <w:jc w:val="both"/>
              <w:outlineLvl w:val="0"/>
              <w:rPr>
                <w:rFonts w:ascii="Times New Roman" w:hAnsi="Times New Roman"/>
                <w:b/>
                <w:bCs/>
                <w:sz w:val="20"/>
                <w:szCs w:val="20"/>
              </w:rPr>
            </w:pPr>
            <w:r w:rsidRPr="000572AB">
              <w:rPr>
                <w:rFonts w:ascii="Times New Roman" w:hAnsi="Times New Roman"/>
                <w:b/>
                <w:bCs/>
                <w:color w:val="000000"/>
                <w:sz w:val="20"/>
                <w:szCs w:val="20"/>
              </w:rPr>
              <w:t>Характеристика облігацій</w:t>
            </w:r>
          </w:p>
        </w:tc>
        <w:tc>
          <w:tcPr>
            <w:tcW w:w="4740" w:type="dxa"/>
            <w:tcBorders>
              <w:top w:val="single" w:sz="8" w:space="0" w:color="4F81BD"/>
              <w:bottom w:val="single" w:sz="8" w:space="0" w:color="4F81BD"/>
              <w:right w:val="single" w:sz="8" w:space="0" w:color="4F81BD"/>
            </w:tcBorders>
            <w:shd w:val="clear" w:color="auto" w:fill="auto"/>
          </w:tcPr>
          <w:p w:rsidR="00570BD8" w:rsidRPr="000572AB" w:rsidRDefault="00570BD8" w:rsidP="00D542E2">
            <w:pPr>
              <w:spacing w:line="240" w:lineRule="auto"/>
              <w:ind w:firstLine="17"/>
              <w:jc w:val="both"/>
              <w:rPr>
                <w:rFonts w:ascii="Times New Roman" w:hAnsi="Times New Roman"/>
                <w:sz w:val="20"/>
                <w:szCs w:val="20"/>
              </w:rPr>
            </w:pPr>
            <w:r w:rsidRPr="000572AB">
              <w:rPr>
                <w:rFonts w:ascii="Times New Roman" w:hAnsi="Times New Roman"/>
                <w:sz w:val="20"/>
                <w:szCs w:val="20"/>
              </w:rPr>
              <w:t>Іменні, відсоткові, звичайні (незабезпечені)</w:t>
            </w:r>
          </w:p>
        </w:tc>
      </w:tr>
      <w:tr w:rsidR="00570BD8" w:rsidRPr="000572AB" w:rsidTr="00E53259">
        <w:trPr>
          <w:trHeight w:val="305"/>
        </w:trPr>
        <w:tc>
          <w:tcPr>
            <w:tcW w:w="4678" w:type="dxa"/>
            <w:shd w:val="clear" w:color="auto" w:fill="auto"/>
          </w:tcPr>
          <w:p w:rsidR="00570BD8" w:rsidRPr="000572AB" w:rsidRDefault="00570BD8" w:rsidP="00D542E2">
            <w:pPr>
              <w:spacing w:line="240" w:lineRule="auto"/>
              <w:jc w:val="both"/>
              <w:rPr>
                <w:rFonts w:ascii="Times New Roman" w:hAnsi="Times New Roman"/>
                <w:b/>
                <w:bCs/>
                <w:sz w:val="20"/>
                <w:szCs w:val="20"/>
              </w:rPr>
            </w:pPr>
            <w:r w:rsidRPr="000572AB">
              <w:rPr>
                <w:rFonts w:ascii="Times New Roman" w:hAnsi="Times New Roman"/>
                <w:b/>
                <w:bCs/>
                <w:color w:val="000000"/>
                <w:sz w:val="20"/>
                <w:szCs w:val="20"/>
              </w:rPr>
              <w:t>Кількість облігацій</w:t>
            </w:r>
          </w:p>
        </w:tc>
        <w:tc>
          <w:tcPr>
            <w:tcW w:w="4740" w:type="dxa"/>
            <w:shd w:val="clear" w:color="auto" w:fill="auto"/>
          </w:tcPr>
          <w:p w:rsidR="00570BD8" w:rsidRPr="000572AB" w:rsidRDefault="00570BD8" w:rsidP="00D542E2">
            <w:pPr>
              <w:spacing w:line="240" w:lineRule="auto"/>
              <w:ind w:firstLine="17"/>
              <w:jc w:val="both"/>
              <w:rPr>
                <w:rFonts w:ascii="Times New Roman" w:hAnsi="Times New Roman"/>
                <w:sz w:val="20"/>
                <w:szCs w:val="20"/>
              </w:rPr>
            </w:pPr>
            <w:r w:rsidRPr="000572AB">
              <w:rPr>
                <w:rFonts w:ascii="Times New Roman" w:hAnsi="Times New Roman"/>
                <w:sz w:val="20"/>
                <w:szCs w:val="20"/>
              </w:rPr>
              <w:t>300 тис.шт</w:t>
            </w:r>
          </w:p>
        </w:tc>
      </w:tr>
      <w:tr w:rsidR="00570BD8" w:rsidRPr="000572AB" w:rsidTr="00E53259">
        <w:tc>
          <w:tcPr>
            <w:tcW w:w="4678" w:type="dxa"/>
            <w:tcBorders>
              <w:top w:val="single" w:sz="8" w:space="0" w:color="4F81BD"/>
              <w:left w:val="single" w:sz="8" w:space="0" w:color="4F81BD"/>
              <w:bottom w:val="single" w:sz="8" w:space="0" w:color="4F81BD"/>
            </w:tcBorders>
            <w:shd w:val="clear" w:color="auto" w:fill="auto"/>
          </w:tcPr>
          <w:p w:rsidR="00570BD8" w:rsidRPr="000572AB" w:rsidRDefault="00570BD8" w:rsidP="00D542E2">
            <w:pPr>
              <w:spacing w:line="240" w:lineRule="auto"/>
              <w:jc w:val="both"/>
              <w:rPr>
                <w:rFonts w:ascii="Times New Roman" w:hAnsi="Times New Roman"/>
                <w:b/>
                <w:bCs/>
                <w:sz w:val="20"/>
                <w:szCs w:val="20"/>
              </w:rPr>
            </w:pPr>
            <w:r w:rsidRPr="000572AB">
              <w:rPr>
                <w:rFonts w:ascii="Times New Roman" w:hAnsi="Times New Roman"/>
                <w:b/>
                <w:bCs/>
                <w:color w:val="000000"/>
                <w:sz w:val="20"/>
                <w:szCs w:val="20"/>
              </w:rPr>
              <w:t>Номінальна вартість облігацій</w:t>
            </w:r>
          </w:p>
        </w:tc>
        <w:tc>
          <w:tcPr>
            <w:tcW w:w="4740" w:type="dxa"/>
            <w:tcBorders>
              <w:top w:val="single" w:sz="8" w:space="0" w:color="4F81BD"/>
              <w:bottom w:val="single" w:sz="8" w:space="0" w:color="4F81BD"/>
              <w:right w:val="single" w:sz="8" w:space="0" w:color="4F81BD"/>
            </w:tcBorders>
            <w:shd w:val="clear" w:color="auto" w:fill="auto"/>
          </w:tcPr>
          <w:p w:rsidR="00570BD8" w:rsidRPr="000572AB" w:rsidRDefault="00570BD8" w:rsidP="00D542E2">
            <w:pPr>
              <w:spacing w:line="240" w:lineRule="auto"/>
              <w:ind w:firstLine="17"/>
              <w:jc w:val="both"/>
              <w:rPr>
                <w:rFonts w:ascii="Times New Roman" w:hAnsi="Times New Roman"/>
                <w:sz w:val="20"/>
                <w:szCs w:val="20"/>
              </w:rPr>
            </w:pPr>
            <w:r w:rsidRPr="000572AB">
              <w:rPr>
                <w:rFonts w:ascii="Times New Roman" w:hAnsi="Times New Roman"/>
                <w:sz w:val="20"/>
                <w:szCs w:val="20"/>
              </w:rPr>
              <w:t>1 тис. грн.</w:t>
            </w:r>
          </w:p>
        </w:tc>
      </w:tr>
      <w:tr w:rsidR="00570BD8" w:rsidRPr="000572AB" w:rsidTr="00E53259">
        <w:tc>
          <w:tcPr>
            <w:tcW w:w="4678" w:type="dxa"/>
            <w:shd w:val="clear" w:color="auto" w:fill="auto"/>
          </w:tcPr>
          <w:p w:rsidR="00570BD8" w:rsidRPr="000572AB" w:rsidRDefault="00570BD8" w:rsidP="00D542E2">
            <w:pPr>
              <w:spacing w:line="240" w:lineRule="auto"/>
              <w:jc w:val="both"/>
              <w:rPr>
                <w:rFonts w:ascii="Times New Roman" w:hAnsi="Times New Roman"/>
                <w:b/>
                <w:bCs/>
                <w:sz w:val="20"/>
                <w:szCs w:val="20"/>
              </w:rPr>
            </w:pPr>
            <w:r w:rsidRPr="000572AB">
              <w:rPr>
                <w:rFonts w:ascii="Times New Roman" w:hAnsi="Times New Roman"/>
                <w:b/>
                <w:bCs/>
                <w:color w:val="000000"/>
                <w:sz w:val="20"/>
                <w:szCs w:val="20"/>
              </w:rPr>
              <w:t>Загальна номінальна вартість випуску облігацій</w:t>
            </w:r>
          </w:p>
        </w:tc>
        <w:tc>
          <w:tcPr>
            <w:tcW w:w="4740" w:type="dxa"/>
            <w:shd w:val="clear" w:color="auto" w:fill="auto"/>
          </w:tcPr>
          <w:p w:rsidR="00570BD8" w:rsidRPr="000572AB" w:rsidRDefault="00570BD8" w:rsidP="00D542E2">
            <w:pPr>
              <w:spacing w:line="240" w:lineRule="auto"/>
              <w:ind w:firstLine="17"/>
              <w:jc w:val="both"/>
              <w:rPr>
                <w:rFonts w:ascii="Times New Roman" w:hAnsi="Times New Roman"/>
                <w:sz w:val="20"/>
                <w:szCs w:val="20"/>
              </w:rPr>
            </w:pPr>
            <w:r w:rsidRPr="000572AB">
              <w:rPr>
                <w:rFonts w:ascii="Times New Roman" w:hAnsi="Times New Roman"/>
                <w:bCs/>
                <w:sz w:val="20"/>
                <w:szCs w:val="20"/>
              </w:rPr>
              <w:t>300 000 тис.грн.</w:t>
            </w:r>
          </w:p>
        </w:tc>
      </w:tr>
      <w:tr w:rsidR="00570BD8" w:rsidRPr="000572AB" w:rsidTr="00E53259">
        <w:tc>
          <w:tcPr>
            <w:tcW w:w="4678" w:type="dxa"/>
            <w:tcBorders>
              <w:top w:val="single" w:sz="8" w:space="0" w:color="4F81BD"/>
              <w:left w:val="single" w:sz="8" w:space="0" w:color="4F81BD"/>
              <w:bottom w:val="single" w:sz="8" w:space="0" w:color="4F81BD"/>
            </w:tcBorders>
            <w:shd w:val="clear" w:color="auto" w:fill="auto"/>
          </w:tcPr>
          <w:p w:rsidR="00570BD8" w:rsidRPr="000572AB" w:rsidRDefault="00570BD8" w:rsidP="00D542E2">
            <w:pPr>
              <w:spacing w:line="240" w:lineRule="auto"/>
              <w:jc w:val="both"/>
              <w:rPr>
                <w:rFonts w:ascii="Times New Roman" w:hAnsi="Times New Roman"/>
                <w:b/>
                <w:bCs/>
                <w:sz w:val="20"/>
                <w:szCs w:val="20"/>
              </w:rPr>
            </w:pPr>
            <w:r w:rsidRPr="000572AB">
              <w:rPr>
                <w:rFonts w:ascii="Times New Roman" w:hAnsi="Times New Roman"/>
                <w:b/>
                <w:bCs/>
                <w:color w:val="000000"/>
                <w:sz w:val="20"/>
                <w:szCs w:val="20"/>
              </w:rPr>
              <w:t>Форма існування облігацій</w:t>
            </w:r>
          </w:p>
        </w:tc>
        <w:tc>
          <w:tcPr>
            <w:tcW w:w="4740" w:type="dxa"/>
            <w:tcBorders>
              <w:top w:val="single" w:sz="8" w:space="0" w:color="4F81BD"/>
              <w:bottom w:val="single" w:sz="8" w:space="0" w:color="4F81BD"/>
              <w:right w:val="single" w:sz="8" w:space="0" w:color="4F81BD"/>
            </w:tcBorders>
            <w:shd w:val="clear" w:color="auto" w:fill="auto"/>
          </w:tcPr>
          <w:p w:rsidR="00570BD8" w:rsidRPr="000572AB" w:rsidRDefault="00570BD8" w:rsidP="00D542E2">
            <w:pPr>
              <w:spacing w:line="240" w:lineRule="auto"/>
              <w:ind w:firstLine="17"/>
              <w:jc w:val="both"/>
              <w:rPr>
                <w:rFonts w:ascii="Times New Roman" w:hAnsi="Times New Roman"/>
                <w:sz w:val="20"/>
                <w:szCs w:val="20"/>
              </w:rPr>
            </w:pPr>
            <w:r w:rsidRPr="000572AB">
              <w:rPr>
                <w:rFonts w:ascii="Times New Roman" w:hAnsi="Times New Roman"/>
                <w:sz w:val="20"/>
                <w:szCs w:val="20"/>
              </w:rPr>
              <w:t>Бездокументарна</w:t>
            </w:r>
          </w:p>
        </w:tc>
      </w:tr>
      <w:tr w:rsidR="00570BD8" w:rsidRPr="000572AB" w:rsidTr="00E53259">
        <w:tc>
          <w:tcPr>
            <w:tcW w:w="4678" w:type="dxa"/>
            <w:shd w:val="clear" w:color="auto" w:fill="auto"/>
          </w:tcPr>
          <w:p w:rsidR="00570BD8" w:rsidRPr="000572AB" w:rsidRDefault="00570BD8" w:rsidP="00D542E2">
            <w:pPr>
              <w:spacing w:line="240" w:lineRule="auto"/>
              <w:jc w:val="both"/>
              <w:rPr>
                <w:rFonts w:ascii="Times New Roman" w:hAnsi="Times New Roman"/>
                <w:b/>
                <w:bCs/>
                <w:sz w:val="20"/>
                <w:szCs w:val="20"/>
              </w:rPr>
            </w:pPr>
            <w:r w:rsidRPr="000572AB">
              <w:rPr>
                <w:rFonts w:ascii="Times New Roman" w:hAnsi="Times New Roman"/>
                <w:b/>
                <w:bCs/>
                <w:color w:val="000000"/>
                <w:sz w:val="20"/>
                <w:szCs w:val="20"/>
              </w:rPr>
              <w:t>Серія</w:t>
            </w:r>
          </w:p>
        </w:tc>
        <w:tc>
          <w:tcPr>
            <w:tcW w:w="4740" w:type="dxa"/>
            <w:shd w:val="clear" w:color="auto" w:fill="auto"/>
          </w:tcPr>
          <w:p w:rsidR="00570BD8" w:rsidRPr="000572AB" w:rsidRDefault="00570BD8" w:rsidP="00D542E2">
            <w:pPr>
              <w:spacing w:line="240" w:lineRule="auto"/>
              <w:ind w:firstLine="17"/>
              <w:jc w:val="both"/>
              <w:rPr>
                <w:rFonts w:ascii="Times New Roman" w:hAnsi="Times New Roman"/>
                <w:sz w:val="20"/>
                <w:szCs w:val="20"/>
              </w:rPr>
            </w:pPr>
            <w:r w:rsidRPr="000572AB">
              <w:rPr>
                <w:rFonts w:ascii="Times New Roman" w:hAnsi="Times New Roman"/>
                <w:bCs/>
                <w:color w:val="000000"/>
                <w:sz w:val="20"/>
                <w:szCs w:val="20"/>
              </w:rPr>
              <w:t>Облігації розміщуються однією серією А</w:t>
            </w:r>
          </w:p>
        </w:tc>
      </w:tr>
      <w:tr w:rsidR="00570BD8" w:rsidRPr="000572AB" w:rsidTr="00E53259">
        <w:tc>
          <w:tcPr>
            <w:tcW w:w="4678" w:type="dxa"/>
            <w:tcBorders>
              <w:top w:val="single" w:sz="8" w:space="0" w:color="4F81BD"/>
              <w:left w:val="single" w:sz="8" w:space="0" w:color="4F81BD"/>
              <w:bottom w:val="single" w:sz="8" w:space="0" w:color="4F81BD"/>
            </w:tcBorders>
            <w:shd w:val="clear" w:color="auto" w:fill="auto"/>
          </w:tcPr>
          <w:p w:rsidR="00570BD8" w:rsidRPr="000572AB" w:rsidRDefault="00570BD8" w:rsidP="00D542E2">
            <w:pPr>
              <w:spacing w:line="240" w:lineRule="auto"/>
              <w:jc w:val="both"/>
              <w:rPr>
                <w:rFonts w:ascii="Times New Roman" w:hAnsi="Times New Roman"/>
                <w:b/>
                <w:bCs/>
                <w:sz w:val="20"/>
                <w:szCs w:val="20"/>
              </w:rPr>
            </w:pPr>
            <w:r w:rsidRPr="000572AB">
              <w:rPr>
                <w:rFonts w:ascii="Times New Roman" w:hAnsi="Times New Roman"/>
                <w:b/>
                <w:bCs/>
                <w:color w:val="000000"/>
                <w:sz w:val="20"/>
                <w:szCs w:val="20"/>
              </w:rPr>
              <w:t>Вид додаткового забезпечення</w:t>
            </w:r>
          </w:p>
        </w:tc>
        <w:tc>
          <w:tcPr>
            <w:tcW w:w="4740" w:type="dxa"/>
            <w:tcBorders>
              <w:top w:val="single" w:sz="8" w:space="0" w:color="4F81BD"/>
              <w:bottom w:val="single" w:sz="8" w:space="0" w:color="4F81BD"/>
              <w:right w:val="single" w:sz="8" w:space="0" w:color="4F81BD"/>
            </w:tcBorders>
            <w:shd w:val="clear" w:color="auto" w:fill="auto"/>
          </w:tcPr>
          <w:p w:rsidR="00570BD8" w:rsidRPr="000572AB" w:rsidRDefault="00570BD8" w:rsidP="00D542E2">
            <w:pPr>
              <w:spacing w:line="240" w:lineRule="auto"/>
              <w:ind w:firstLine="17"/>
              <w:jc w:val="both"/>
              <w:rPr>
                <w:rFonts w:ascii="Times New Roman" w:hAnsi="Times New Roman"/>
                <w:sz w:val="20"/>
                <w:szCs w:val="20"/>
              </w:rPr>
            </w:pPr>
            <w:r w:rsidRPr="000572AB">
              <w:rPr>
                <w:rFonts w:ascii="Times New Roman" w:hAnsi="Times New Roman"/>
                <w:sz w:val="20"/>
                <w:szCs w:val="20"/>
              </w:rPr>
              <w:t>Додаткового забезпечення не передбачено</w:t>
            </w:r>
          </w:p>
        </w:tc>
      </w:tr>
      <w:tr w:rsidR="00570BD8" w:rsidRPr="000572AB" w:rsidTr="00E53259">
        <w:tc>
          <w:tcPr>
            <w:tcW w:w="4678" w:type="dxa"/>
            <w:shd w:val="clear" w:color="auto" w:fill="auto"/>
          </w:tcPr>
          <w:p w:rsidR="00570BD8" w:rsidRPr="000572AB" w:rsidRDefault="00570BD8" w:rsidP="00D542E2">
            <w:pPr>
              <w:spacing w:line="240" w:lineRule="auto"/>
              <w:jc w:val="both"/>
              <w:rPr>
                <w:rFonts w:ascii="Times New Roman" w:hAnsi="Times New Roman"/>
                <w:b/>
                <w:bCs/>
                <w:color w:val="000000"/>
                <w:sz w:val="20"/>
                <w:szCs w:val="20"/>
              </w:rPr>
            </w:pPr>
            <w:r w:rsidRPr="000572AB">
              <w:rPr>
                <w:rFonts w:ascii="Times New Roman" w:hAnsi="Times New Roman"/>
                <w:b/>
                <w:bCs/>
                <w:color w:val="000000"/>
                <w:sz w:val="20"/>
                <w:szCs w:val="20"/>
              </w:rPr>
              <w:t>Термін закінчення обігу облігацій</w:t>
            </w:r>
          </w:p>
        </w:tc>
        <w:tc>
          <w:tcPr>
            <w:tcW w:w="4740" w:type="dxa"/>
            <w:shd w:val="clear" w:color="auto" w:fill="auto"/>
          </w:tcPr>
          <w:p w:rsidR="00570BD8" w:rsidRPr="000572AB" w:rsidRDefault="00570BD8" w:rsidP="00D542E2">
            <w:pPr>
              <w:spacing w:line="240" w:lineRule="auto"/>
              <w:ind w:firstLine="17"/>
              <w:jc w:val="both"/>
              <w:rPr>
                <w:rFonts w:ascii="Times New Roman" w:hAnsi="Times New Roman"/>
                <w:sz w:val="20"/>
                <w:szCs w:val="20"/>
              </w:rPr>
            </w:pPr>
            <w:r w:rsidRPr="000572AB">
              <w:rPr>
                <w:rFonts w:ascii="Times New Roman" w:hAnsi="Times New Roman"/>
                <w:sz w:val="20"/>
                <w:szCs w:val="20"/>
              </w:rPr>
              <w:t>04.09.2021р</w:t>
            </w:r>
          </w:p>
        </w:tc>
      </w:tr>
    </w:tbl>
    <w:p w:rsidR="00751898" w:rsidRPr="000572AB" w:rsidRDefault="00751898" w:rsidP="00D542E2">
      <w:pPr>
        <w:pStyle w:val="21"/>
        <w:ind w:firstLine="709"/>
        <w:contextualSpacing/>
        <w:rPr>
          <w:rFonts w:ascii="Times New Roman" w:hAnsi="Times New Roman"/>
          <w:b w:val="0"/>
          <w:sz w:val="20"/>
        </w:rPr>
      </w:pPr>
    </w:p>
    <w:p w:rsidR="0018557E" w:rsidRPr="000572AB" w:rsidRDefault="006A20FE" w:rsidP="00D542E2">
      <w:pPr>
        <w:spacing w:after="0" w:line="240" w:lineRule="auto"/>
        <w:ind w:firstLine="709"/>
        <w:contextualSpacing/>
        <w:jc w:val="both"/>
        <w:rPr>
          <w:rFonts w:ascii="Times New Roman" w:hAnsi="Times New Roman"/>
          <w:b/>
          <w:sz w:val="20"/>
          <w:szCs w:val="20"/>
        </w:rPr>
      </w:pPr>
      <w:r w:rsidRPr="000572AB">
        <w:rPr>
          <w:rFonts w:ascii="Times New Roman" w:hAnsi="Times New Roman"/>
          <w:b/>
          <w:sz w:val="20"/>
          <w:szCs w:val="20"/>
        </w:rPr>
        <w:t>1</w:t>
      </w:r>
      <w:r w:rsidR="00C00920" w:rsidRPr="000572AB">
        <w:rPr>
          <w:rFonts w:ascii="Times New Roman" w:hAnsi="Times New Roman"/>
          <w:b/>
          <w:sz w:val="20"/>
          <w:szCs w:val="20"/>
        </w:rPr>
        <w:t>8</w:t>
      </w:r>
      <w:r w:rsidR="008377A0" w:rsidRPr="000572AB">
        <w:rPr>
          <w:rFonts w:ascii="Times New Roman" w:hAnsi="Times New Roman"/>
          <w:b/>
          <w:sz w:val="20"/>
          <w:szCs w:val="20"/>
        </w:rPr>
        <w:t>.7</w:t>
      </w:r>
      <w:r w:rsidR="000B4EFE" w:rsidRPr="000572AB">
        <w:rPr>
          <w:rFonts w:ascii="Times New Roman" w:hAnsi="Times New Roman"/>
          <w:b/>
          <w:sz w:val="20"/>
          <w:szCs w:val="20"/>
        </w:rPr>
        <w:t>. Кредиторська заборгованість</w:t>
      </w:r>
      <w:r w:rsidR="0018557E" w:rsidRPr="000572AB">
        <w:rPr>
          <w:rFonts w:ascii="Times New Roman" w:hAnsi="Times New Roman"/>
          <w:b/>
          <w:sz w:val="20"/>
          <w:szCs w:val="20"/>
        </w:rPr>
        <w:t>.</w:t>
      </w:r>
    </w:p>
    <w:p w:rsidR="003E388E" w:rsidRPr="000572AB" w:rsidRDefault="000B4EFE" w:rsidP="00D542E2">
      <w:pPr>
        <w:pStyle w:val="a2"/>
        <w:spacing w:after="0" w:line="240" w:lineRule="auto"/>
        <w:ind w:firstLine="709"/>
        <w:jc w:val="both"/>
        <w:rPr>
          <w:rFonts w:ascii="Times New Roman" w:hAnsi="Times New Roman"/>
          <w:sz w:val="20"/>
          <w:szCs w:val="20"/>
        </w:rPr>
      </w:pPr>
      <w:r w:rsidRPr="000572AB">
        <w:rPr>
          <w:rFonts w:ascii="Times New Roman" w:hAnsi="Times New Roman"/>
          <w:sz w:val="20"/>
          <w:szCs w:val="20"/>
        </w:rPr>
        <w:t>Кредиторська заборгованість відображається за собівартістю, яка є справедливою вартістю компенсації, яка має бути передана в майбутньому за отримані товари, роботи, послуги.</w:t>
      </w:r>
    </w:p>
    <w:p w:rsidR="0053252C" w:rsidRPr="000572AB" w:rsidRDefault="0053252C" w:rsidP="00D542E2">
      <w:pPr>
        <w:pStyle w:val="a2"/>
        <w:spacing w:after="0" w:line="240" w:lineRule="auto"/>
        <w:ind w:firstLine="709"/>
        <w:jc w:val="both"/>
        <w:rPr>
          <w:rFonts w:ascii="Times New Roman" w:hAnsi="Times New Roman"/>
          <w:sz w:val="20"/>
          <w:szCs w:val="20"/>
        </w:rPr>
      </w:pPr>
      <w:r w:rsidRPr="000572AB">
        <w:rPr>
          <w:rFonts w:ascii="Times New Roman" w:hAnsi="Times New Roman"/>
          <w:sz w:val="20"/>
          <w:szCs w:val="20"/>
        </w:rPr>
        <w:t>Поточна кредиторська заб</w:t>
      </w:r>
      <w:r w:rsidR="00737ABD" w:rsidRPr="000572AB">
        <w:rPr>
          <w:rFonts w:ascii="Times New Roman" w:hAnsi="Times New Roman"/>
          <w:sz w:val="20"/>
          <w:szCs w:val="20"/>
        </w:rPr>
        <w:t>оргованість станом на 31.12.201</w:t>
      </w:r>
      <w:r w:rsidR="004C79D0" w:rsidRPr="000572AB">
        <w:rPr>
          <w:rFonts w:ascii="Times New Roman" w:hAnsi="Times New Roman"/>
          <w:sz w:val="20"/>
          <w:szCs w:val="20"/>
        </w:rPr>
        <w:t>7</w:t>
      </w:r>
      <w:r w:rsidRPr="000572AB">
        <w:rPr>
          <w:rFonts w:ascii="Times New Roman" w:hAnsi="Times New Roman"/>
          <w:sz w:val="20"/>
          <w:szCs w:val="20"/>
        </w:rPr>
        <w:t xml:space="preserve"> р. за розрахунками з бюджетом </w:t>
      </w:r>
      <w:r w:rsidR="00737ABD" w:rsidRPr="000572AB">
        <w:rPr>
          <w:rFonts w:ascii="Times New Roman" w:hAnsi="Times New Roman"/>
          <w:sz w:val="20"/>
          <w:szCs w:val="20"/>
        </w:rPr>
        <w:t xml:space="preserve"> становить </w:t>
      </w:r>
      <w:r w:rsidR="00401587" w:rsidRPr="000572AB">
        <w:rPr>
          <w:rFonts w:ascii="Times New Roman" w:hAnsi="Times New Roman"/>
          <w:sz w:val="20"/>
          <w:szCs w:val="20"/>
        </w:rPr>
        <w:t>10</w:t>
      </w:r>
      <w:r w:rsidR="00C00920" w:rsidRPr="000572AB">
        <w:rPr>
          <w:rFonts w:ascii="Times New Roman" w:hAnsi="Times New Roman"/>
          <w:sz w:val="20"/>
          <w:szCs w:val="20"/>
        </w:rPr>
        <w:t xml:space="preserve"> </w:t>
      </w:r>
      <w:r w:rsidRPr="000572AB">
        <w:rPr>
          <w:rFonts w:ascii="Times New Roman" w:hAnsi="Times New Roman"/>
          <w:sz w:val="20"/>
          <w:szCs w:val="20"/>
        </w:rPr>
        <w:t xml:space="preserve">тис. </w:t>
      </w:r>
      <w:r w:rsidR="00BC5701" w:rsidRPr="000572AB">
        <w:rPr>
          <w:rFonts w:ascii="Times New Roman" w:hAnsi="Times New Roman"/>
          <w:sz w:val="20"/>
          <w:szCs w:val="20"/>
        </w:rPr>
        <w:t xml:space="preserve">грн., в тому числі з податку на прибуток – </w:t>
      </w:r>
      <w:r w:rsidR="00C00920" w:rsidRPr="000572AB">
        <w:rPr>
          <w:rFonts w:ascii="Times New Roman" w:hAnsi="Times New Roman"/>
          <w:sz w:val="20"/>
          <w:szCs w:val="20"/>
        </w:rPr>
        <w:t xml:space="preserve">10 </w:t>
      </w:r>
      <w:r w:rsidR="00737ABD" w:rsidRPr="000572AB">
        <w:rPr>
          <w:rFonts w:ascii="Times New Roman" w:hAnsi="Times New Roman"/>
          <w:sz w:val="20"/>
          <w:szCs w:val="20"/>
        </w:rPr>
        <w:t>тис. грн.</w:t>
      </w:r>
    </w:p>
    <w:p w:rsidR="0053252C" w:rsidRPr="000572AB" w:rsidRDefault="0053252C" w:rsidP="00D542E2">
      <w:pPr>
        <w:spacing w:after="0" w:line="240" w:lineRule="auto"/>
        <w:ind w:firstLine="709"/>
        <w:jc w:val="both"/>
        <w:rPr>
          <w:rFonts w:ascii="Times New Roman" w:hAnsi="Times New Roman"/>
          <w:sz w:val="20"/>
          <w:szCs w:val="20"/>
        </w:rPr>
      </w:pPr>
      <w:r w:rsidRPr="000572AB">
        <w:rPr>
          <w:rFonts w:ascii="Times New Roman" w:hAnsi="Times New Roman"/>
          <w:sz w:val="20"/>
          <w:szCs w:val="20"/>
        </w:rPr>
        <w:t>Поточні забезпечення станом на 31.12.201</w:t>
      </w:r>
      <w:r w:rsidR="004C79D0" w:rsidRPr="000572AB">
        <w:rPr>
          <w:rFonts w:ascii="Times New Roman" w:hAnsi="Times New Roman"/>
          <w:sz w:val="20"/>
          <w:szCs w:val="20"/>
        </w:rPr>
        <w:t>7</w:t>
      </w:r>
      <w:r w:rsidRPr="000572AB">
        <w:rPr>
          <w:rFonts w:ascii="Times New Roman" w:hAnsi="Times New Roman"/>
          <w:sz w:val="20"/>
          <w:szCs w:val="20"/>
        </w:rPr>
        <w:t xml:space="preserve"> р. становлять </w:t>
      </w:r>
      <w:r w:rsidR="00246408" w:rsidRPr="000572AB">
        <w:rPr>
          <w:rFonts w:ascii="Times New Roman" w:hAnsi="Times New Roman"/>
          <w:sz w:val="20"/>
          <w:szCs w:val="20"/>
        </w:rPr>
        <w:t>30</w:t>
      </w:r>
      <w:r w:rsidRPr="000572AB">
        <w:rPr>
          <w:rFonts w:ascii="Times New Roman" w:hAnsi="Times New Roman"/>
          <w:sz w:val="20"/>
          <w:szCs w:val="20"/>
        </w:rPr>
        <w:t xml:space="preserve"> тис. грн. і складаються із забезпечення оплати відпусток.</w:t>
      </w:r>
    </w:p>
    <w:p w:rsidR="00246408" w:rsidRPr="000572AB" w:rsidRDefault="00181448" w:rsidP="00D542E2">
      <w:pPr>
        <w:pStyle w:val="a2"/>
        <w:spacing w:after="0" w:line="240" w:lineRule="auto"/>
        <w:ind w:firstLine="708"/>
        <w:jc w:val="both"/>
        <w:rPr>
          <w:rFonts w:ascii="Times New Roman" w:hAnsi="Times New Roman"/>
          <w:sz w:val="20"/>
          <w:szCs w:val="20"/>
        </w:rPr>
      </w:pPr>
      <w:r w:rsidRPr="000572AB">
        <w:rPr>
          <w:rFonts w:ascii="Times New Roman" w:hAnsi="Times New Roman"/>
          <w:sz w:val="20"/>
          <w:szCs w:val="20"/>
        </w:rPr>
        <w:t>Інші поточні зобов’язання станом на 31.12.201</w:t>
      </w:r>
      <w:r w:rsidR="004C79D0" w:rsidRPr="000572AB">
        <w:rPr>
          <w:rFonts w:ascii="Times New Roman" w:hAnsi="Times New Roman"/>
          <w:sz w:val="20"/>
          <w:szCs w:val="20"/>
        </w:rPr>
        <w:t>7</w:t>
      </w:r>
      <w:r w:rsidRPr="000572AB">
        <w:rPr>
          <w:rFonts w:ascii="Times New Roman" w:hAnsi="Times New Roman"/>
          <w:sz w:val="20"/>
          <w:szCs w:val="20"/>
        </w:rPr>
        <w:t xml:space="preserve"> р. становлять </w:t>
      </w:r>
      <w:r w:rsidR="00246408" w:rsidRPr="000572AB">
        <w:rPr>
          <w:rFonts w:ascii="Times New Roman" w:hAnsi="Times New Roman"/>
          <w:sz w:val="20"/>
          <w:szCs w:val="20"/>
        </w:rPr>
        <w:t>154 193</w:t>
      </w:r>
      <w:r w:rsidRPr="000572AB">
        <w:rPr>
          <w:rFonts w:ascii="Times New Roman" w:hAnsi="Times New Roman"/>
          <w:sz w:val="20"/>
          <w:szCs w:val="20"/>
        </w:rPr>
        <w:t xml:space="preserve"> тис</w:t>
      </w:r>
      <w:r w:rsidR="00B815D9" w:rsidRPr="000572AB">
        <w:rPr>
          <w:rFonts w:ascii="Times New Roman" w:hAnsi="Times New Roman"/>
          <w:sz w:val="20"/>
          <w:szCs w:val="20"/>
        </w:rPr>
        <w:t xml:space="preserve">. грн. і </w:t>
      </w:r>
      <w:r w:rsidR="003C0158" w:rsidRPr="000572AB">
        <w:rPr>
          <w:rFonts w:ascii="Times New Roman" w:hAnsi="Times New Roman"/>
          <w:sz w:val="20"/>
          <w:szCs w:val="20"/>
        </w:rPr>
        <w:t>склада</w:t>
      </w:r>
      <w:r w:rsidR="006A20FE" w:rsidRPr="000572AB">
        <w:rPr>
          <w:rFonts w:ascii="Times New Roman" w:hAnsi="Times New Roman"/>
          <w:sz w:val="20"/>
          <w:szCs w:val="20"/>
        </w:rPr>
        <w:t>є</w:t>
      </w:r>
      <w:r w:rsidR="003C0158" w:rsidRPr="000572AB">
        <w:rPr>
          <w:rFonts w:ascii="Times New Roman" w:hAnsi="Times New Roman"/>
          <w:sz w:val="20"/>
          <w:szCs w:val="20"/>
        </w:rPr>
        <w:t>ться</w:t>
      </w:r>
      <w:r w:rsidR="006A20FE" w:rsidRPr="000572AB">
        <w:rPr>
          <w:rFonts w:ascii="Times New Roman" w:hAnsi="Times New Roman"/>
          <w:sz w:val="20"/>
          <w:szCs w:val="20"/>
        </w:rPr>
        <w:t xml:space="preserve"> </w:t>
      </w:r>
      <w:r w:rsidR="00937697" w:rsidRPr="000572AB">
        <w:rPr>
          <w:rFonts w:ascii="Times New Roman" w:hAnsi="Times New Roman"/>
          <w:sz w:val="20"/>
          <w:szCs w:val="20"/>
        </w:rPr>
        <w:t xml:space="preserve">із заборгованості </w:t>
      </w:r>
    </w:p>
    <w:p w:rsidR="006300F1" w:rsidRPr="000572AB" w:rsidRDefault="00937697" w:rsidP="00D542E2">
      <w:pPr>
        <w:pStyle w:val="a2"/>
        <w:numPr>
          <w:ilvl w:val="0"/>
          <w:numId w:val="29"/>
        </w:numPr>
        <w:spacing w:after="0" w:line="240" w:lineRule="auto"/>
        <w:jc w:val="both"/>
        <w:rPr>
          <w:rFonts w:ascii="Times New Roman" w:hAnsi="Times New Roman"/>
          <w:sz w:val="20"/>
          <w:szCs w:val="20"/>
        </w:rPr>
      </w:pPr>
      <w:r w:rsidRPr="000572AB">
        <w:rPr>
          <w:rFonts w:ascii="Times New Roman" w:hAnsi="Times New Roman"/>
          <w:sz w:val="20"/>
          <w:szCs w:val="20"/>
        </w:rPr>
        <w:t xml:space="preserve">з нарахованих та несплачених Товариством відсотків за </w:t>
      </w:r>
      <w:r w:rsidR="006300F1" w:rsidRPr="000572AB">
        <w:rPr>
          <w:rFonts w:ascii="Times New Roman" w:hAnsi="Times New Roman"/>
          <w:sz w:val="20"/>
          <w:szCs w:val="20"/>
        </w:rPr>
        <w:t>облігаціями</w:t>
      </w:r>
      <w:r w:rsidR="00246408" w:rsidRPr="000572AB">
        <w:rPr>
          <w:rFonts w:ascii="Times New Roman" w:hAnsi="Times New Roman"/>
          <w:sz w:val="20"/>
          <w:szCs w:val="20"/>
        </w:rPr>
        <w:t xml:space="preserve"> власної емісії </w:t>
      </w:r>
      <w:r w:rsidR="006300F1" w:rsidRPr="000572AB">
        <w:rPr>
          <w:rFonts w:ascii="Times New Roman" w:hAnsi="Times New Roman"/>
          <w:sz w:val="20"/>
          <w:szCs w:val="20"/>
        </w:rPr>
        <w:t>(накопичений купонний дохід) 5 031 тис. грн;</w:t>
      </w:r>
    </w:p>
    <w:p w:rsidR="006300F1" w:rsidRPr="000572AB" w:rsidRDefault="006300F1" w:rsidP="00D542E2">
      <w:pPr>
        <w:pStyle w:val="a2"/>
        <w:numPr>
          <w:ilvl w:val="0"/>
          <w:numId w:val="29"/>
        </w:numPr>
        <w:spacing w:after="0" w:line="240" w:lineRule="auto"/>
        <w:jc w:val="both"/>
        <w:rPr>
          <w:rFonts w:ascii="Times New Roman" w:hAnsi="Times New Roman"/>
          <w:sz w:val="20"/>
          <w:szCs w:val="20"/>
        </w:rPr>
      </w:pPr>
      <w:r w:rsidRPr="000572AB">
        <w:rPr>
          <w:rFonts w:ascii="Times New Roman" w:hAnsi="Times New Roman"/>
          <w:sz w:val="20"/>
          <w:szCs w:val="20"/>
        </w:rPr>
        <w:lastRenderedPageBreak/>
        <w:t>за операціями з цінними паперами  140 662 тис. грн.;</w:t>
      </w:r>
    </w:p>
    <w:p w:rsidR="006300F1" w:rsidRPr="000572AB" w:rsidRDefault="006300F1" w:rsidP="00D542E2">
      <w:pPr>
        <w:pStyle w:val="a2"/>
        <w:numPr>
          <w:ilvl w:val="0"/>
          <w:numId w:val="29"/>
        </w:numPr>
        <w:spacing w:after="0" w:line="240" w:lineRule="auto"/>
        <w:jc w:val="both"/>
        <w:rPr>
          <w:rFonts w:ascii="Times New Roman" w:hAnsi="Times New Roman"/>
          <w:sz w:val="20"/>
          <w:szCs w:val="20"/>
        </w:rPr>
      </w:pPr>
      <w:r w:rsidRPr="000572AB">
        <w:rPr>
          <w:rFonts w:ascii="Times New Roman" w:hAnsi="Times New Roman"/>
          <w:sz w:val="20"/>
          <w:szCs w:val="20"/>
        </w:rPr>
        <w:t>за операціями факторингу  8 500 тис. грн.</w:t>
      </w:r>
    </w:p>
    <w:p w:rsidR="00570BD8" w:rsidRPr="000572AB" w:rsidRDefault="00570BD8" w:rsidP="00D542E2">
      <w:pPr>
        <w:pStyle w:val="2"/>
        <w:numPr>
          <w:ilvl w:val="0"/>
          <w:numId w:val="0"/>
        </w:numPr>
        <w:spacing w:before="0" w:after="0"/>
        <w:ind w:left="1440"/>
        <w:jc w:val="center"/>
        <w:rPr>
          <w:sz w:val="20"/>
          <w:szCs w:val="20"/>
          <w:lang w:val="uk-UA"/>
        </w:rPr>
      </w:pPr>
    </w:p>
    <w:p w:rsidR="000B4EFE" w:rsidRPr="000572AB" w:rsidRDefault="000B4EFE" w:rsidP="00D542E2">
      <w:pPr>
        <w:pStyle w:val="a"/>
        <w:rPr>
          <w:sz w:val="20"/>
          <w:szCs w:val="20"/>
        </w:rPr>
      </w:pPr>
      <w:r w:rsidRPr="000572AB">
        <w:rPr>
          <w:sz w:val="20"/>
          <w:szCs w:val="20"/>
        </w:rPr>
        <w:t>Звіт про фінансові результати (Звіт про сукупний дохід)</w:t>
      </w:r>
      <w:r w:rsidR="0018557E" w:rsidRPr="000572AB">
        <w:rPr>
          <w:sz w:val="20"/>
          <w:szCs w:val="20"/>
        </w:rPr>
        <w:t>.</w:t>
      </w:r>
      <w:r w:rsidR="003A6382" w:rsidRPr="000572AB">
        <w:rPr>
          <w:sz w:val="20"/>
          <w:szCs w:val="20"/>
        </w:rPr>
        <w:t xml:space="preserve"> </w:t>
      </w:r>
    </w:p>
    <w:p w:rsidR="000B4EFE" w:rsidRPr="000572AB" w:rsidRDefault="000B4EFE" w:rsidP="00D542E2">
      <w:pPr>
        <w:pStyle w:val="a2"/>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Всі статті доходів і витрат, визнані у звітних періодах включено до складу Звіту про фінансові результати (Звіт про сукупний дохід).</w:t>
      </w:r>
    </w:p>
    <w:p w:rsidR="000B4EFE" w:rsidRPr="000572AB" w:rsidRDefault="000B4EFE" w:rsidP="00D542E2">
      <w:pPr>
        <w:pStyle w:val="a2"/>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 xml:space="preserve">Витрати відображаються в бухгалтерському обліку одночасно зі зменшенням активів або збільшенням зобов'язань. Витратами звітного періоду визнаються або зменшення активів або збільшення зобов'язань, що приводить до зменшення власного капіталу Товариства, за умови, що ці витрати можуть бути достовірно оцінені. </w:t>
      </w:r>
    </w:p>
    <w:p w:rsidR="000B4EFE" w:rsidRPr="000572AB" w:rsidRDefault="000B4EFE" w:rsidP="00D542E2">
      <w:pPr>
        <w:pStyle w:val="a2"/>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 xml:space="preserve">Витратами визнаються витрати певного періоду одночасно з визнанням доходу, для отримання якого вони здійснені. </w:t>
      </w:r>
    </w:p>
    <w:p w:rsidR="000B4EFE" w:rsidRPr="000572AB" w:rsidRDefault="000B4EFE" w:rsidP="00D542E2">
      <w:pPr>
        <w:pStyle w:val="a2"/>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За умови, що оцінка доходу може бути достовірно визначена, дох</w:t>
      </w:r>
      <w:r w:rsidR="0037554B" w:rsidRPr="000572AB">
        <w:rPr>
          <w:rFonts w:ascii="Times New Roman" w:hAnsi="Times New Roman"/>
          <w:sz w:val="20"/>
          <w:szCs w:val="20"/>
        </w:rPr>
        <w:t>і</w:t>
      </w:r>
      <w:r w:rsidRPr="000572AB">
        <w:rPr>
          <w:rFonts w:ascii="Times New Roman" w:hAnsi="Times New Roman"/>
          <w:sz w:val="20"/>
          <w:szCs w:val="20"/>
        </w:rPr>
        <w:t xml:space="preserve">д у Звіті про фінансові результати відображається в момент надходження активу або погашення зобов'язання, які призводять до збільшення власного капіталу </w:t>
      </w:r>
      <w:r w:rsidR="00094AB4" w:rsidRPr="000572AB">
        <w:rPr>
          <w:rFonts w:ascii="Times New Roman" w:hAnsi="Times New Roman"/>
          <w:sz w:val="20"/>
          <w:szCs w:val="20"/>
        </w:rPr>
        <w:t>Товариства</w:t>
      </w:r>
      <w:r w:rsidRPr="000572AB">
        <w:rPr>
          <w:rFonts w:ascii="Times New Roman" w:hAnsi="Times New Roman"/>
          <w:sz w:val="20"/>
          <w:szCs w:val="20"/>
        </w:rPr>
        <w:t xml:space="preserve">. </w:t>
      </w:r>
    </w:p>
    <w:p w:rsidR="000B4EFE" w:rsidRPr="000572AB" w:rsidRDefault="000B4EFE" w:rsidP="00D542E2">
      <w:pPr>
        <w:pStyle w:val="a2"/>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 xml:space="preserve">За умови, що оцінка витрат може бути достовірно визначена, витрати відображаються у Звіті про фінансові результати в момент вибуття активу або збільшення зобов'язання. </w:t>
      </w:r>
    </w:p>
    <w:p w:rsidR="000B4EFE" w:rsidRPr="000572AB" w:rsidRDefault="000B4EFE" w:rsidP="00D542E2">
      <w:pPr>
        <w:spacing w:after="0" w:line="240" w:lineRule="auto"/>
        <w:ind w:firstLine="709"/>
        <w:contextualSpacing/>
        <w:jc w:val="both"/>
        <w:rPr>
          <w:rFonts w:ascii="Times New Roman" w:eastAsia="Times New Roman" w:hAnsi="Times New Roman"/>
          <w:sz w:val="20"/>
          <w:szCs w:val="20"/>
        </w:rPr>
      </w:pPr>
      <w:r w:rsidRPr="000572AB">
        <w:rPr>
          <w:rFonts w:ascii="Times New Roman" w:eastAsia="Times New Roman" w:hAnsi="Times New Roman"/>
          <w:sz w:val="20"/>
          <w:szCs w:val="20"/>
        </w:rPr>
        <w:t xml:space="preserve">Доходи і витрати зазвичай враховуються за принципом нарахування залежно від ступеня завершеності конкретної операції, яка оцінюється як співвідношення фактично наданого обсягу послуг і загального обсягу послуг, які мають бути надані. </w:t>
      </w:r>
    </w:p>
    <w:p w:rsidR="00467D6C" w:rsidRPr="000572AB" w:rsidRDefault="006A20FE" w:rsidP="00D542E2">
      <w:pPr>
        <w:spacing w:after="0" w:line="240" w:lineRule="auto"/>
        <w:ind w:firstLine="540"/>
        <w:contextualSpacing/>
        <w:jc w:val="both"/>
        <w:rPr>
          <w:rFonts w:ascii="Times New Roman" w:eastAsia="Times New Roman" w:hAnsi="Times New Roman"/>
          <w:sz w:val="20"/>
          <w:szCs w:val="20"/>
        </w:rPr>
      </w:pPr>
      <w:r w:rsidRPr="000572AB">
        <w:rPr>
          <w:rFonts w:ascii="Times New Roman" w:eastAsia="Times New Roman" w:hAnsi="Times New Roman"/>
          <w:sz w:val="20"/>
          <w:szCs w:val="20"/>
        </w:rPr>
        <w:t xml:space="preserve">  </w:t>
      </w:r>
      <w:r w:rsidR="00467D6C" w:rsidRPr="000572AB">
        <w:rPr>
          <w:rFonts w:ascii="Times New Roman" w:eastAsia="Times New Roman" w:hAnsi="Times New Roman"/>
          <w:b/>
          <w:sz w:val="20"/>
          <w:szCs w:val="20"/>
        </w:rPr>
        <w:t>Чистий дохід від реалізації продукції (товарів, робіт, послуг)</w:t>
      </w:r>
      <w:r w:rsidR="00F165B8" w:rsidRPr="000572AB">
        <w:rPr>
          <w:rFonts w:ascii="Times New Roman" w:eastAsia="Times New Roman" w:hAnsi="Times New Roman"/>
          <w:b/>
          <w:sz w:val="20"/>
          <w:szCs w:val="20"/>
        </w:rPr>
        <w:t xml:space="preserve"> </w:t>
      </w:r>
      <w:r w:rsidR="00467D6C" w:rsidRPr="000572AB">
        <w:rPr>
          <w:rFonts w:ascii="Times New Roman" w:eastAsia="Times New Roman" w:hAnsi="Times New Roman"/>
          <w:sz w:val="20"/>
          <w:szCs w:val="20"/>
        </w:rPr>
        <w:t xml:space="preserve">становить </w:t>
      </w:r>
      <w:r w:rsidR="00F165B8" w:rsidRPr="000572AB">
        <w:rPr>
          <w:rFonts w:ascii="Times New Roman" w:eastAsia="Times New Roman" w:hAnsi="Times New Roman"/>
          <w:sz w:val="20"/>
          <w:szCs w:val="20"/>
          <w:lang w:val="ru-RU"/>
        </w:rPr>
        <w:t>11 497</w:t>
      </w:r>
      <w:r w:rsidR="00597424" w:rsidRPr="000572AB">
        <w:rPr>
          <w:rFonts w:ascii="Times New Roman" w:eastAsia="Times New Roman" w:hAnsi="Times New Roman"/>
          <w:sz w:val="20"/>
          <w:szCs w:val="20"/>
        </w:rPr>
        <w:t xml:space="preserve"> </w:t>
      </w:r>
      <w:r w:rsidR="003C0158" w:rsidRPr="000572AB">
        <w:rPr>
          <w:rFonts w:ascii="Times New Roman" w:eastAsia="Times New Roman" w:hAnsi="Times New Roman"/>
          <w:sz w:val="20"/>
          <w:szCs w:val="20"/>
        </w:rPr>
        <w:t xml:space="preserve"> тис грн. (доходи</w:t>
      </w:r>
      <w:r w:rsidR="00D963BF" w:rsidRPr="000572AB">
        <w:rPr>
          <w:rFonts w:ascii="Times New Roman" w:eastAsia="Times New Roman" w:hAnsi="Times New Roman"/>
          <w:sz w:val="20"/>
          <w:szCs w:val="20"/>
        </w:rPr>
        <w:t>,</w:t>
      </w:r>
      <w:r w:rsidR="003C0158" w:rsidRPr="000572AB">
        <w:rPr>
          <w:rFonts w:ascii="Times New Roman" w:eastAsia="Times New Roman" w:hAnsi="Times New Roman"/>
          <w:sz w:val="20"/>
          <w:szCs w:val="20"/>
        </w:rPr>
        <w:t xml:space="preserve"> отримані Товариством в зв’язку з наданням послуг з метою отримання прибутку</w:t>
      </w:r>
      <w:r w:rsidR="00312F25" w:rsidRPr="000572AB">
        <w:rPr>
          <w:rFonts w:ascii="Times New Roman" w:eastAsia="Times New Roman" w:hAnsi="Times New Roman"/>
          <w:sz w:val="20"/>
          <w:szCs w:val="20"/>
        </w:rPr>
        <w:t xml:space="preserve">, а саме </w:t>
      </w:r>
      <w:r w:rsidR="00F165B8" w:rsidRPr="000572AB">
        <w:rPr>
          <w:rFonts w:ascii="Times New Roman" w:hAnsi="Times New Roman"/>
          <w:sz w:val="20"/>
          <w:szCs w:val="20"/>
        </w:rPr>
        <w:t xml:space="preserve">відсотки за користування </w:t>
      </w:r>
      <w:r w:rsidR="00F165B8" w:rsidRPr="000572AB">
        <w:rPr>
          <w:rFonts w:ascii="Times New Roman" w:hAnsi="Times New Roman"/>
          <w:sz w:val="20"/>
          <w:szCs w:val="20"/>
          <w:lang w:val="ru-RU"/>
        </w:rPr>
        <w:t>позиками, в тому числі фінансовими кредитами</w:t>
      </w:r>
      <w:r w:rsidR="003C0158" w:rsidRPr="000572AB">
        <w:rPr>
          <w:rFonts w:ascii="Times New Roman" w:eastAsia="Times New Roman" w:hAnsi="Times New Roman"/>
          <w:sz w:val="20"/>
          <w:szCs w:val="20"/>
        </w:rPr>
        <w:t>).</w:t>
      </w:r>
      <w:r w:rsidR="00311020" w:rsidRPr="000572AB">
        <w:rPr>
          <w:rFonts w:ascii="Times New Roman" w:eastAsia="Times New Roman" w:hAnsi="Times New Roman"/>
          <w:sz w:val="20"/>
          <w:szCs w:val="20"/>
          <w:lang w:val="ru-RU"/>
        </w:rPr>
        <w:t xml:space="preserve"> У 2016 роц</w:t>
      </w:r>
      <w:r w:rsidR="00311020" w:rsidRPr="000572AB">
        <w:rPr>
          <w:rFonts w:ascii="Times New Roman" w:eastAsia="Times New Roman" w:hAnsi="Times New Roman"/>
          <w:sz w:val="20"/>
          <w:szCs w:val="20"/>
        </w:rPr>
        <w:t>і чистий дохід від реалізації становив 14 256 тис. грн</w:t>
      </w:r>
    </w:p>
    <w:p w:rsidR="00A01440" w:rsidRPr="000572AB" w:rsidRDefault="00A01440" w:rsidP="00D542E2">
      <w:pPr>
        <w:spacing w:after="0" w:line="240" w:lineRule="auto"/>
        <w:ind w:firstLine="540"/>
        <w:contextualSpacing/>
        <w:jc w:val="center"/>
        <w:rPr>
          <w:rFonts w:ascii="Times New Roman" w:eastAsia="Times New Roman" w:hAnsi="Times New Roman"/>
          <w:b/>
          <w:sz w:val="20"/>
          <w:szCs w:val="20"/>
        </w:rPr>
      </w:pPr>
    </w:p>
    <w:p w:rsidR="00311020" w:rsidRPr="000572AB" w:rsidRDefault="002A6AAD" w:rsidP="00D542E2">
      <w:pPr>
        <w:pStyle w:val="2"/>
        <w:numPr>
          <w:ilvl w:val="0"/>
          <w:numId w:val="0"/>
        </w:numPr>
        <w:spacing w:before="0" w:after="0"/>
        <w:rPr>
          <w:b w:val="0"/>
          <w:sz w:val="20"/>
          <w:szCs w:val="20"/>
          <w:lang w:val="uk-UA"/>
        </w:rPr>
      </w:pPr>
      <w:r w:rsidRPr="000572AB">
        <w:rPr>
          <w:sz w:val="20"/>
          <w:szCs w:val="20"/>
          <w:lang w:val="uk-UA"/>
        </w:rPr>
        <w:t xml:space="preserve">Інші операційні доходи </w:t>
      </w:r>
      <w:r w:rsidRPr="000572AB">
        <w:rPr>
          <w:b w:val="0"/>
          <w:sz w:val="20"/>
          <w:szCs w:val="20"/>
          <w:lang w:val="uk-UA"/>
        </w:rPr>
        <w:t xml:space="preserve">становлять </w:t>
      </w:r>
      <w:r w:rsidR="00311020" w:rsidRPr="000572AB">
        <w:rPr>
          <w:b w:val="0"/>
          <w:sz w:val="20"/>
          <w:szCs w:val="20"/>
          <w:lang w:val="uk-UA"/>
        </w:rPr>
        <w:t xml:space="preserve"> у 2017 році - </w:t>
      </w:r>
      <w:r w:rsidRPr="000572AB">
        <w:rPr>
          <w:b w:val="0"/>
          <w:sz w:val="20"/>
          <w:szCs w:val="20"/>
          <w:lang w:val="uk-UA"/>
        </w:rPr>
        <w:t xml:space="preserve"> 7 509 тис. грн,</w:t>
      </w:r>
      <w:r w:rsidR="00311020" w:rsidRPr="000572AB">
        <w:rPr>
          <w:b w:val="0"/>
          <w:sz w:val="20"/>
          <w:szCs w:val="20"/>
          <w:lang w:val="uk-UA"/>
        </w:rPr>
        <w:t xml:space="preserve"> </w:t>
      </w:r>
    </w:p>
    <w:p w:rsidR="00311020" w:rsidRPr="000572AB" w:rsidRDefault="00311020" w:rsidP="00D542E2">
      <w:pPr>
        <w:pStyle w:val="33"/>
        <w:spacing w:after="0"/>
        <w:ind w:left="0" w:firstLine="708"/>
        <w:jc w:val="both"/>
        <w:rPr>
          <w:sz w:val="20"/>
          <w:szCs w:val="20"/>
        </w:rPr>
      </w:pPr>
      <w:r w:rsidRPr="000572AB">
        <w:rPr>
          <w:sz w:val="20"/>
          <w:szCs w:val="20"/>
        </w:rPr>
        <w:t>Структура інших операційних доходів за 2016 - 2017 роки:</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3"/>
        <w:gridCol w:w="2412"/>
        <w:gridCol w:w="1696"/>
      </w:tblGrid>
      <w:tr w:rsidR="00311020" w:rsidRPr="000572AB" w:rsidTr="00D542E2">
        <w:trPr>
          <w:trHeight w:val="661"/>
          <w:tblHeader/>
        </w:trPr>
        <w:tc>
          <w:tcPr>
            <w:tcW w:w="5263" w:type="dxa"/>
            <w:tcBorders>
              <w:top w:val="single" w:sz="4" w:space="0" w:color="auto"/>
              <w:left w:val="single" w:sz="4" w:space="0" w:color="auto"/>
              <w:bottom w:val="single" w:sz="4" w:space="0" w:color="auto"/>
              <w:right w:val="single" w:sz="4" w:space="0" w:color="auto"/>
            </w:tcBorders>
            <w:vAlign w:val="center"/>
            <w:hideMark/>
          </w:tcPr>
          <w:p w:rsidR="00311020" w:rsidRPr="000572AB" w:rsidRDefault="00311020" w:rsidP="00D542E2">
            <w:pPr>
              <w:spacing w:after="0" w:line="240" w:lineRule="auto"/>
              <w:rPr>
                <w:rFonts w:ascii="Times New Roman" w:hAnsi="Times New Roman"/>
                <w:b/>
                <w:bCs/>
                <w:sz w:val="20"/>
                <w:szCs w:val="20"/>
              </w:rPr>
            </w:pPr>
            <w:r w:rsidRPr="000572AB">
              <w:rPr>
                <w:rFonts w:ascii="Times New Roman" w:hAnsi="Times New Roman"/>
                <w:b/>
                <w:bCs/>
                <w:sz w:val="20"/>
                <w:szCs w:val="20"/>
              </w:rPr>
              <w:t>Вид</w:t>
            </w:r>
          </w:p>
        </w:tc>
        <w:tc>
          <w:tcPr>
            <w:tcW w:w="2412" w:type="dxa"/>
            <w:tcBorders>
              <w:top w:val="single" w:sz="4" w:space="0" w:color="auto"/>
              <w:left w:val="single" w:sz="4" w:space="0" w:color="auto"/>
              <w:bottom w:val="single" w:sz="4" w:space="0" w:color="auto"/>
              <w:right w:val="single" w:sz="4" w:space="0" w:color="auto"/>
            </w:tcBorders>
            <w:vAlign w:val="center"/>
            <w:hideMark/>
          </w:tcPr>
          <w:p w:rsidR="00311020" w:rsidRPr="000572AB" w:rsidRDefault="00311020" w:rsidP="00D542E2">
            <w:pPr>
              <w:spacing w:after="0" w:line="240" w:lineRule="auto"/>
              <w:jc w:val="center"/>
              <w:rPr>
                <w:rFonts w:ascii="Times New Roman" w:hAnsi="Times New Roman"/>
                <w:b/>
                <w:sz w:val="20"/>
                <w:szCs w:val="20"/>
              </w:rPr>
            </w:pPr>
            <w:r w:rsidRPr="000572AB">
              <w:rPr>
                <w:rFonts w:ascii="Times New Roman" w:hAnsi="Times New Roman"/>
                <w:b/>
                <w:sz w:val="20"/>
                <w:szCs w:val="20"/>
              </w:rPr>
              <w:t>2016 рік, тис. грн.</w:t>
            </w:r>
          </w:p>
        </w:tc>
        <w:tc>
          <w:tcPr>
            <w:tcW w:w="1696" w:type="dxa"/>
            <w:tcBorders>
              <w:top w:val="single" w:sz="4" w:space="0" w:color="auto"/>
              <w:left w:val="single" w:sz="4" w:space="0" w:color="auto"/>
              <w:bottom w:val="single" w:sz="4" w:space="0" w:color="auto"/>
              <w:right w:val="single" w:sz="4" w:space="0" w:color="auto"/>
            </w:tcBorders>
            <w:vAlign w:val="center"/>
            <w:hideMark/>
          </w:tcPr>
          <w:p w:rsidR="00311020" w:rsidRPr="000572AB" w:rsidRDefault="00311020" w:rsidP="00D542E2">
            <w:pPr>
              <w:spacing w:after="0" w:line="240" w:lineRule="auto"/>
              <w:jc w:val="center"/>
              <w:rPr>
                <w:rFonts w:ascii="Times New Roman" w:hAnsi="Times New Roman"/>
                <w:b/>
                <w:sz w:val="20"/>
                <w:szCs w:val="20"/>
              </w:rPr>
            </w:pPr>
            <w:r w:rsidRPr="000572AB">
              <w:rPr>
                <w:rFonts w:ascii="Times New Roman" w:hAnsi="Times New Roman"/>
                <w:b/>
                <w:sz w:val="20"/>
                <w:szCs w:val="20"/>
              </w:rPr>
              <w:t>2017 рік, тис. грн.</w:t>
            </w:r>
          </w:p>
        </w:tc>
      </w:tr>
      <w:tr w:rsidR="00311020" w:rsidRPr="000572AB" w:rsidTr="00D542E2">
        <w:trPr>
          <w:trHeight w:val="255"/>
        </w:trPr>
        <w:tc>
          <w:tcPr>
            <w:tcW w:w="5263" w:type="dxa"/>
            <w:tcBorders>
              <w:top w:val="single" w:sz="4" w:space="0" w:color="auto"/>
              <w:left w:val="single" w:sz="4" w:space="0" w:color="auto"/>
              <w:bottom w:val="single" w:sz="4" w:space="0" w:color="auto"/>
              <w:right w:val="single" w:sz="4" w:space="0" w:color="auto"/>
            </w:tcBorders>
            <w:noWrap/>
            <w:vAlign w:val="center"/>
            <w:hideMark/>
          </w:tcPr>
          <w:p w:rsidR="00311020" w:rsidRPr="000572AB" w:rsidRDefault="00311020" w:rsidP="00D542E2">
            <w:pPr>
              <w:spacing w:after="0" w:line="240" w:lineRule="auto"/>
              <w:rPr>
                <w:rFonts w:ascii="Times New Roman" w:hAnsi="Times New Roman"/>
                <w:sz w:val="20"/>
                <w:szCs w:val="20"/>
              </w:rPr>
            </w:pPr>
            <w:r w:rsidRPr="000572AB">
              <w:rPr>
                <w:rFonts w:ascii="Times New Roman" w:hAnsi="Times New Roman"/>
                <w:sz w:val="20"/>
                <w:szCs w:val="20"/>
                <w:lang w:eastAsia="ru-RU"/>
              </w:rPr>
              <w:t>Штрафи, пені, неустойки</w:t>
            </w:r>
            <w:r w:rsidR="00465377" w:rsidRPr="000572AB">
              <w:rPr>
                <w:rFonts w:ascii="Times New Roman" w:hAnsi="Times New Roman"/>
                <w:sz w:val="20"/>
                <w:szCs w:val="20"/>
                <w:lang w:eastAsia="ru-RU"/>
              </w:rPr>
              <w:t xml:space="preserve"> від боржників</w:t>
            </w:r>
          </w:p>
        </w:tc>
        <w:tc>
          <w:tcPr>
            <w:tcW w:w="2412" w:type="dxa"/>
            <w:tcBorders>
              <w:top w:val="single" w:sz="4" w:space="0" w:color="auto"/>
              <w:left w:val="single" w:sz="4" w:space="0" w:color="auto"/>
              <w:bottom w:val="single" w:sz="4" w:space="0" w:color="auto"/>
              <w:right w:val="single" w:sz="4" w:space="0" w:color="auto"/>
            </w:tcBorders>
            <w:vAlign w:val="center"/>
            <w:hideMark/>
          </w:tcPr>
          <w:p w:rsidR="00311020" w:rsidRPr="000572AB" w:rsidRDefault="00B16EB0" w:rsidP="00D542E2">
            <w:pPr>
              <w:spacing w:after="0" w:line="240" w:lineRule="auto"/>
              <w:jc w:val="right"/>
              <w:rPr>
                <w:rFonts w:ascii="Times New Roman" w:hAnsi="Times New Roman"/>
                <w:sz w:val="20"/>
                <w:szCs w:val="20"/>
              </w:rPr>
            </w:pPr>
            <w:r w:rsidRPr="000572AB">
              <w:rPr>
                <w:rFonts w:ascii="Times New Roman" w:hAnsi="Times New Roman"/>
                <w:sz w:val="20"/>
                <w:szCs w:val="20"/>
              </w:rPr>
              <w:t>9 359</w:t>
            </w:r>
          </w:p>
        </w:tc>
        <w:tc>
          <w:tcPr>
            <w:tcW w:w="1696" w:type="dxa"/>
            <w:tcBorders>
              <w:top w:val="single" w:sz="4" w:space="0" w:color="auto"/>
              <w:left w:val="single" w:sz="4" w:space="0" w:color="auto"/>
              <w:bottom w:val="single" w:sz="4" w:space="0" w:color="auto"/>
              <w:right w:val="single" w:sz="4" w:space="0" w:color="auto"/>
            </w:tcBorders>
            <w:vAlign w:val="center"/>
            <w:hideMark/>
          </w:tcPr>
          <w:p w:rsidR="00311020" w:rsidRPr="000572AB" w:rsidRDefault="00311020" w:rsidP="00D542E2">
            <w:pPr>
              <w:spacing w:after="0" w:line="240" w:lineRule="auto"/>
              <w:jc w:val="right"/>
              <w:rPr>
                <w:rFonts w:ascii="Times New Roman" w:hAnsi="Times New Roman"/>
                <w:sz w:val="20"/>
                <w:szCs w:val="20"/>
              </w:rPr>
            </w:pPr>
            <w:r w:rsidRPr="000572AB">
              <w:rPr>
                <w:rFonts w:ascii="Times New Roman" w:hAnsi="Times New Roman"/>
                <w:sz w:val="20"/>
                <w:szCs w:val="20"/>
              </w:rPr>
              <w:t>7 11</w:t>
            </w:r>
            <w:r w:rsidR="00897CC0" w:rsidRPr="000572AB">
              <w:rPr>
                <w:rFonts w:ascii="Times New Roman" w:hAnsi="Times New Roman"/>
                <w:sz w:val="20"/>
                <w:szCs w:val="20"/>
              </w:rPr>
              <w:t>3</w:t>
            </w:r>
          </w:p>
        </w:tc>
      </w:tr>
      <w:tr w:rsidR="00465377" w:rsidRPr="000572AB" w:rsidTr="00D542E2">
        <w:trPr>
          <w:trHeight w:val="255"/>
        </w:trPr>
        <w:tc>
          <w:tcPr>
            <w:tcW w:w="5263" w:type="dxa"/>
            <w:tcBorders>
              <w:top w:val="single" w:sz="4" w:space="0" w:color="auto"/>
              <w:left w:val="single" w:sz="4" w:space="0" w:color="auto"/>
              <w:bottom w:val="single" w:sz="4" w:space="0" w:color="auto"/>
              <w:right w:val="single" w:sz="4" w:space="0" w:color="auto"/>
            </w:tcBorders>
            <w:noWrap/>
            <w:vAlign w:val="center"/>
            <w:hideMark/>
          </w:tcPr>
          <w:p w:rsidR="00465377" w:rsidRPr="000572AB" w:rsidRDefault="00465377" w:rsidP="00D542E2">
            <w:pPr>
              <w:spacing w:after="0" w:line="240" w:lineRule="auto"/>
              <w:rPr>
                <w:rFonts w:ascii="Times New Roman" w:hAnsi="Times New Roman"/>
                <w:sz w:val="20"/>
                <w:szCs w:val="20"/>
              </w:rPr>
            </w:pPr>
            <w:r w:rsidRPr="000572AB">
              <w:rPr>
                <w:rFonts w:ascii="Times New Roman" w:hAnsi="Times New Roman"/>
                <w:sz w:val="20"/>
                <w:szCs w:val="20"/>
                <w:lang w:eastAsia="ru-RU"/>
              </w:rPr>
              <w:t>Позитивна курсова різниця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465377" w:rsidRPr="000572AB" w:rsidRDefault="00465377" w:rsidP="00D542E2">
            <w:pPr>
              <w:spacing w:after="0" w:line="240" w:lineRule="auto"/>
              <w:jc w:val="right"/>
              <w:rPr>
                <w:rFonts w:ascii="Times New Roman" w:hAnsi="Times New Roman"/>
                <w:sz w:val="20"/>
                <w:szCs w:val="20"/>
              </w:rPr>
            </w:pPr>
            <w:r w:rsidRPr="000572AB">
              <w:rPr>
                <w:rFonts w:ascii="Times New Roman" w:hAnsi="Times New Roman"/>
                <w:sz w:val="20"/>
                <w:szCs w:val="20"/>
              </w:rPr>
              <w:t>347</w:t>
            </w:r>
          </w:p>
        </w:tc>
        <w:tc>
          <w:tcPr>
            <w:tcW w:w="1696" w:type="dxa"/>
            <w:tcBorders>
              <w:top w:val="single" w:sz="4" w:space="0" w:color="auto"/>
              <w:left w:val="single" w:sz="4" w:space="0" w:color="auto"/>
              <w:bottom w:val="single" w:sz="4" w:space="0" w:color="auto"/>
              <w:right w:val="single" w:sz="4" w:space="0" w:color="auto"/>
            </w:tcBorders>
            <w:vAlign w:val="center"/>
            <w:hideMark/>
          </w:tcPr>
          <w:p w:rsidR="00465377" w:rsidRPr="000572AB" w:rsidRDefault="00465377" w:rsidP="00D542E2">
            <w:pPr>
              <w:spacing w:after="0" w:line="240" w:lineRule="auto"/>
              <w:jc w:val="right"/>
              <w:rPr>
                <w:rFonts w:ascii="Times New Roman" w:hAnsi="Times New Roman"/>
                <w:sz w:val="20"/>
                <w:szCs w:val="20"/>
              </w:rPr>
            </w:pPr>
            <w:r w:rsidRPr="000572AB">
              <w:rPr>
                <w:rFonts w:ascii="Times New Roman" w:hAnsi="Times New Roman"/>
                <w:sz w:val="20"/>
                <w:szCs w:val="20"/>
                <w:lang w:eastAsia="ru-RU"/>
              </w:rPr>
              <w:t>144</w:t>
            </w:r>
          </w:p>
        </w:tc>
      </w:tr>
      <w:tr w:rsidR="00465377" w:rsidRPr="000572AB" w:rsidTr="00D542E2">
        <w:trPr>
          <w:trHeight w:val="255"/>
        </w:trPr>
        <w:tc>
          <w:tcPr>
            <w:tcW w:w="5263" w:type="dxa"/>
            <w:tcBorders>
              <w:top w:val="single" w:sz="4" w:space="0" w:color="auto"/>
              <w:left w:val="single" w:sz="4" w:space="0" w:color="auto"/>
              <w:bottom w:val="single" w:sz="4" w:space="0" w:color="auto"/>
              <w:right w:val="single" w:sz="4" w:space="0" w:color="auto"/>
            </w:tcBorders>
            <w:noWrap/>
            <w:vAlign w:val="center"/>
            <w:hideMark/>
          </w:tcPr>
          <w:p w:rsidR="00465377" w:rsidRPr="000572AB" w:rsidRDefault="00465377" w:rsidP="00D542E2">
            <w:pPr>
              <w:spacing w:after="0" w:line="240" w:lineRule="auto"/>
              <w:rPr>
                <w:rFonts w:ascii="Times New Roman" w:hAnsi="Times New Roman"/>
                <w:sz w:val="20"/>
                <w:szCs w:val="20"/>
              </w:rPr>
            </w:pPr>
            <w:r w:rsidRPr="000572AB">
              <w:rPr>
                <w:rFonts w:ascii="Times New Roman" w:hAnsi="Times New Roman"/>
                <w:sz w:val="20"/>
                <w:szCs w:val="20"/>
                <w:lang w:eastAsia="ru-RU"/>
              </w:rPr>
              <w:t xml:space="preserve">%% отримані за залишок на поточному рахунку </w:t>
            </w:r>
          </w:p>
        </w:tc>
        <w:tc>
          <w:tcPr>
            <w:tcW w:w="2412" w:type="dxa"/>
            <w:tcBorders>
              <w:top w:val="single" w:sz="4" w:space="0" w:color="auto"/>
              <w:left w:val="single" w:sz="4" w:space="0" w:color="auto"/>
              <w:bottom w:val="single" w:sz="4" w:space="0" w:color="auto"/>
              <w:right w:val="single" w:sz="4" w:space="0" w:color="auto"/>
            </w:tcBorders>
            <w:vAlign w:val="center"/>
            <w:hideMark/>
          </w:tcPr>
          <w:p w:rsidR="00465377" w:rsidRPr="000572AB" w:rsidRDefault="00465377" w:rsidP="00D542E2">
            <w:pPr>
              <w:spacing w:after="0" w:line="240" w:lineRule="auto"/>
              <w:jc w:val="right"/>
              <w:rPr>
                <w:rFonts w:ascii="Times New Roman" w:hAnsi="Times New Roman"/>
                <w:sz w:val="20"/>
                <w:szCs w:val="20"/>
              </w:rPr>
            </w:pPr>
            <w:r w:rsidRPr="000572AB">
              <w:rPr>
                <w:rFonts w:ascii="Times New Roman" w:hAnsi="Times New Roman"/>
                <w:sz w:val="20"/>
                <w:szCs w:val="20"/>
              </w:rPr>
              <w:t>235</w:t>
            </w:r>
          </w:p>
        </w:tc>
        <w:tc>
          <w:tcPr>
            <w:tcW w:w="1696" w:type="dxa"/>
            <w:tcBorders>
              <w:top w:val="single" w:sz="4" w:space="0" w:color="auto"/>
              <w:left w:val="single" w:sz="4" w:space="0" w:color="auto"/>
              <w:bottom w:val="single" w:sz="4" w:space="0" w:color="auto"/>
              <w:right w:val="single" w:sz="4" w:space="0" w:color="auto"/>
            </w:tcBorders>
            <w:vAlign w:val="center"/>
            <w:hideMark/>
          </w:tcPr>
          <w:p w:rsidR="00465377" w:rsidRPr="000572AB" w:rsidRDefault="00465377" w:rsidP="00D542E2">
            <w:pPr>
              <w:spacing w:after="0" w:line="240" w:lineRule="auto"/>
              <w:jc w:val="right"/>
              <w:rPr>
                <w:rFonts w:ascii="Times New Roman" w:hAnsi="Times New Roman"/>
                <w:sz w:val="20"/>
                <w:szCs w:val="20"/>
              </w:rPr>
            </w:pPr>
            <w:r w:rsidRPr="000572AB">
              <w:rPr>
                <w:rFonts w:ascii="Times New Roman" w:hAnsi="Times New Roman"/>
                <w:sz w:val="20"/>
                <w:szCs w:val="20"/>
                <w:lang w:eastAsia="ru-RU"/>
              </w:rPr>
              <w:t>3</w:t>
            </w:r>
          </w:p>
        </w:tc>
      </w:tr>
      <w:tr w:rsidR="00465377" w:rsidRPr="000572AB" w:rsidTr="00D542E2">
        <w:trPr>
          <w:trHeight w:val="255"/>
        </w:trPr>
        <w:tc>
          <w:tcPr>
            <w:tcW w:w="5263" w:type="dxa"/>
            <w:tcBorders>
              <w:top w:val="single" w:sz="4" w:space="0" w:color="auto"/>
              <w:left w:val="single" w:sz="4" w:space="0" w:color="auto"/>
              <w:bottom w:val="single" w:sz="4" w:space="0" w:color="auto"/>
              <w:right w:val="single" w:sz="4" w:space="0" w:color="auto"/>
            </w:tcBorders>
            <w:noWrap/>
            <w:vAlign w:val="center"/>
            <w:hideMark/>
          </w:tcPr>
          <w:p w:rsidR="00465377" w:rsidRPr="000572AB" w:rsidRDefault="00465377" w:rsidP="00D542E2">
            <w:pPr>
              <w:spacing w:after="0" w:line="240" w:lineRule="auto"/>
              <w:rPr>
                <w:rFonts w:ascii="Times New Roman" w:hAnsi="Times New Roman"/>
                <w:sz w:val="20"/>
                <w:szCs w:val="20"/>
              </w:rPr>
            </w:pPr>
            <w:r w:rsidRPr="000572AB">
              <w:rPr>
                <w:rFonts w:ascii="Times New Roman" w:hAnsi="Times New Roman"/>
                <w:sz w:val="20"/>
                <w:szCs w:val="20"/>
                <w:lang w:eastAsia="ru-RU"/>
              </w:rPr>
              <w:t>Переоцінка ЦП</w:t>
            </w:r>
          </w:p>
        </w:tc>
        <w:tc>
          <w:tcPr>
            <w:tcW w:w="2412" w:type="dxa"/>
            <w:tcBorders>
              <w:top w:val="single" w:sz="4" w:space="0" w:color="auto"/>
              <w:left w:val="single" w:sz="4" w:space="0" w:color="auto"/>
              <w:bottom w:val="single" w:sz="4" w:space="0" w:color="auto"/>
              <w:right w:val="single" w:sz="4" w:space="0" w:color="auto"/>
            </w:tcBorders>
            <w:vAlign w:val="center"/>
            <w:hideMark/>
          </w:tcPr>
          <w:p w:rsidR="00465377" w:rsidRPr="000572AB" w:rsidRDefault="00465377" w:rsidP="00D542E2">
            <w:pPr>
              <w:spacing w:after="0" w:line="240" w:lineRule="auto"/>
              <w:jc w:val="right"/>
              <w:rPr>
                <w:rFonts w:ascii="Times New Roman" w:hAnsi="Times New Roman"/>
                <w:sz w:val="20"/>
                <w:szCs w:val="20"/>
              </w:rPr>
            </w:pPr>
            <w:r w:rsidRPr="000572AB">
              <w:rPr>
                <w:rFonts w:ascii="Times New Roman" w:hAnsi="Times New Roman"/>
                <w:sz w:val="20"/>
                <w:szCs w:val="20"/>
              </w:rPr>
              <w:t>-</w:t>
            </w:r>
          </w:p>
        </w:tc>
        <w:tc>
          <w:tcPr>
            <w:tcW w:w="1696" w:type="dxa"/>
            <w:tcBorders>
              <w:top w:val="single" w:sz="4" w:space="0" w:color="auto"/>
              <w:left w:val="single" w:sz="4" w:space="0" w:color="auto"/>
              <w:bottom w:val="single" w:sz="4" w:space="0" w:color="auto"/>
              <w:right w:val="single" w:sz="4" w:space="0" w:color="auto"/>
            </w:tcBorders>
            <w:vAlign w:val="center"/>
            <w:hideMark/>
          </w:tcPr>
          <w:p w:rsidR="00465377" w:rsidRPr="000572AB" w:rsidRDefault="00465377" w:rsidP="00D542E2">
            <w:pPr>
              <w:spacing w:after="0" w:line="240" w:lineRule="auto"/>
              <w:jc w:val="right"/>
              <w:rPr>
                <w:rFonts w:ascii="Times New Roman" w:hAnsi="Times New Roman"/>
                <w:sz w:val="20"/>
                <w:szCs w:val="20"/>
              </w:rPr>
            </w:pPr>
            <w:r w:rsidRPr="000572AB">
              <w:rPr>
                <w:rFonts w:ascii="Times New Roman" w:hAnsi="Times New Roman"/>
                <w:sz w:val="20"/>
                <w:szCs w:val="20"/>
                <w:lang w:eastAsia="ru-RU"/>
              </w:rPr>
              <w:t>249</w:t>
            </w:r>
          </w:p>
        </w:tc>
      </w:tr>
      <w:tr w:rsidR="00465377" w:rsidRPr="000572AB" w:rsidTr="00D542E2">
        <w:trPr>
          <w:trHeight w:val="255"/>
        </w:trPr>
        <w:tc>
          <w:tcPr>
            <w:tcW w:w="5263" w:type="dxa"/>
            <w:tcBorders>
              <w:top w:val="single" w:sz="4" w:space="0" w:color="auto"/>
              <w:left w:val="single" w:sz="4" w:space="0" w:color="auto"/>
              <w:bottom w:val="single" w:sz="4" w:space="0" w:color="auto"/>
              <w:right w:val="single" w:sz="4" w:space="0" w:color="auto"/>
            </w:tcBorders>
            <w:noWrap/>
            <w:vAlign w:val="center"/>
            <w:hideMark/>
          </w:tcPr>
          <w:p w:rsidR="00465377" w:rsidRPr="000572AB" w:rsidRDefault="00897CC0" w:rsidP="00D542E2">
            <w:pPr>
              <w:spacing w:after="0" w:line="240" w:lineRule="auto"/>
              <w:rPr>
                <w:rFonts w:ascii="Times New Roman" w:hAnsi="Times New Roman"/>
                <w:sz w:val="20"/>
                <w:szCs w:val="20"/>
              </w:rPr>
            </w:pPr>
            <w:r w:rsidRPr="000572AB">
              <w:rPr>
                <w:rFonts w:ascii="Times New Roman" w:hAnsi="Times New Roman"/>
                <w:sz w:val="20"/>
                <w:szCs w:val="20"/>
                <w:lang w:eastAsia="ru-RU"/>
              </w:rPr>
              <w:t>Дохід від суб.оренди</w:t>
            </w:r>
          </w:p>
        </w:tc>
        <w:tc>
          <w:tcPr>
            <w:tcW w:w="2412" w:type="dxa"/>
            <w:tcBorders>
              <w:top w:val="single" w:sz="4" w:space="0" w:color="auto"/>
              <w:left w:val="single" w:sz="4" w:space="0" w:color="auto"/>
              <w:bottom w:val="single" w:sz="4" w:space="0" w:color="auto"/>
              <w:right w:val="single" w:sz="4" w:space="0" w:color="auto"/>
            </w:tcBorders>
            <w:vAlign w:val="center"/>
            <w:hideMark/>
          </w:tcPr>
          <w:p w:rsidR="00465377" w:rsidRPr="000572AB" w:rsidRDefault="00897CC0" w:rsidP="00D542E2">
            <w:pPr>
              <w:spacing w:after="0" w:line="240" w:lineRule="auto"/>
              <w:jc w:val="right"/>
              <w:rPr>
                <w:rFonts w:ascii="Times New Roman" w:hAnsi="Times New Roman"/>
                <w:sz w:val="20"/>
                <w:szCs w:val="20"/>
              </w:rPr>
            </w:pPr>
            <w:r w:rsidRPr="000572AB">
              <w:rPr>
                <w:rFonts w:ascii="Times New Roman" w:hAnsi="Times New Roman"/>
                <w:sz w:val="20"/>
                <w:szCs w:val="20"/>
              </w:rPr>
              <w:t>27</w:t>
            </w:r>
          </w:p>
        </w:tc>
        <w:tc>
          <w:tcPr>
            <w:tcW w:w="1696" w:type="dxa"/>
            <w:tcBorders>
              <w:top w:val="single" w:sz="4" w:space="0" w:color="auto"/>
              <w:left w:val="single" w:sz="4" w:space="0" w:color="auto"/>
              <w:bottom w:val="single" w:sz="4" w:space="0" w:color="auto"/>
              <w:right w:val="single" w:sz="4" w:space="0" w:color="auto"/>
            </w:tcBorders>
            <w:vAlign w:val="center"/>
            <w:hideMark/>
          </w:tcPr>
          <w:p w:rsidR="00465377" w:rsidRPr="000572AB" w:rsidRDefault="00897CC0" w:rsidP="00D542E2">
            <w:pPr>
              <w:spacing w:after="0" w:line="240" w:lineRule="auto"/>
              <w:jc w:val="right"/>
              <w:rPr>
                <w:rFonts w:ascii="Times New Roman" w:hAnsi="Times New Roman"/>
                <w:sz w:val="20"/>
                <w:szCs w:val="20"/>
              </w:rPr>
            </w:pPr>
            <w:r w:rsidRPr="000572AB">
              <w:rPr>
                <w:rFonts w:ascii="Times New Roman" w:hAnsi="Times New Roman"/>
                <w:sz w:val="20"/>
                <w:szCs w:val="20"/>
                <w:lang w:eastAsia="ru-RU"/>
              </w:rPr>
              <w:t>-</w:t>
            </w:r>
          </w:p>
        </w:tc>
      </w:tr>
      <w:tr w:rsidR="00465377" w:rsidRPr="000572AB" w:rsidTr="00D542E2">
        <w:trPr>
          <w:trHeight w:val="255"/>
        </w:trPr>
        <w:tc>
          <w:tcPr>
            <w:tcW w:w="5263" w:type="dxa"/>
            <w:tcBorders>
              <w:top w:val="single" w:sz="4" w:space="0" w:color="auto"/>
              <w:left w:val="single" w:sz="4" w:space="0" w:color="auto"/>
              <w:bottom w:val="single" w:sz="4" w:space="0" w:color="auto"/>
              <w:right w:val="single" w:sz="4" w:space="0" w:color="auto"/>
            </w:tcBorders>
            <w:noWrap/>
            <w:vAlign w:val="bottom"/>
            <w:hideMark/>
          </w:tcPr>
          <w:p w:rsidR="00465377" w:rsidRPr="000572AB" w:rsidRDefault="00465377" w:rsidP="00D542E2">
            <w:pPr>
              <w:spacing w:after="0" w:line="240" w:lineRule="auto"/>
              <w:rPr>
                <w:rFonts w:ascii="Times New Roman" w:hAnsi="Times New Roman"/>
                <w:b/>
                <w:bCs/>
                <w:sz w:val="20"/>
                <w:szCs w:val="20"/>
              </w:rPr>
            </w:pPr>
            <w:r w:rsidRPr="000572AB">
              <w:rPr>
                <w:rFonts w:ascii="Times New Roman" w:hAnsi="Times New Roman"/>
                <w:b/>
                <w:bCs/>
                <w:sz w:val="20"/>
                <w:szCs w:val="20"/>
              </w:rPr>
              <w:t>Всього</w:t>
            </w:r>
          </w:p>
        </w:tc>
        <w:tc>
          <w:tcPr>
            <w:tcW w:w="2412" w:type="dxa"/>
            <w:tcBorders>
              <w:top w:val="single" w:sz="4" w:space="0" w:color="auto"/>
              <w:left w:val="single" w:sz="4" w:space="0" w:color="auto"/>
              <w:bottom w:val="single" w:sz="4" w:space="0" w:color="auto"/>
              <w:right w:val="single" w:sz="4" w:space="0" w:color="auto"/>
            </w:tcBorders>
            <w:hideMark/>
          </w:tcPr>
          <w:p w:rsidR="00465377" w:rsidRPr="000572AB" w:rsidRDefault="00465377" w:rsidP="00D542E2">
            <w:pPr>
              <w:spacing w:after="0" w:line="240" w:lineRule="auto"/>
              <w:jc w:val="right"/>
              <w:rPr>
                <w:rFonts w:ascii="Times New Roman" w:hAnsi="Times New Roman"/>
                <w:b/>
                <w:bCs/>
                <w:sz w:val="20"/>
                <w:szCs w:val="20"/>
              </w:rPr>
            </w:pPr>
            <w:r w:rsidRPr="000572AB">
              <w:rPr>
                <w:rFonts w:ascii="Times New Roman" w:hAnsi="Times New Roman"/>
                <w:b/>
                <w:bCs/>
                <w:sz w:val="20"/>
                <w:szCs w:val="20"/>
              </w:rPr>
              <w:t>9 968</w:t>
            </w:r>
          </w:p>
        </w:tc>
        <w:tc>
          <w:tcPr>
            <w:tcW w:w="1696" w:type="dxa"/>
            <w:tcBorders>
              <w:top w:val="single" w:sz="4" w:space="0" w:color="auto"/>
              <w:left w:val="single" w:sz="4" w:space="0" w:color="auto"/>
              <w:bottom w:val="single" w:sz="4" w:space="0" w:color="auto"/>
              <w:right w:val="single" w:sz="4" w:space="0" w:color="auto"/>
            </w:tcBorders>
            <w:hideMark/>
          </w:tcPr>
          <w:p w:rsidR="00465377" w:rsidRPr="000572AB" w:rsidRDefault="00465377" w:rsidP="00D542E2">
            <w:pPr>
              <w:spacing w:after="0" w:line="240" w:lineRule="auto"/>
              <w:jc w:val="right"/>
              <w:rPr>
                <w:rFonts w:ascii="Times New Roman" w:hAnsi="Times New Roman"/>
                <w:b/>
                <w:bCs/>
                <w:sz w:val="20"/>
                <w:szCs w:val="20"/>
              </w:rPr>
            </w:pPr>
            <w:r w:rsidRPr="000572AB">
              <w:rPr>
                <w:rFonts w:ascii="Times New Roman" w:hAnsi="Times New Roman"/>
                <w:b/>
                <w:bCs/>
                <w:sz w:val="20"/>
                <w:szCs w:val="20"/>
              </w:rPr>
              <w:t>7 509</w:t>
            </w:r>
          </w:p>
        </w:tc>
      </w:tr>
    </w:tbl>
    <w:p w:rsidR="00897CC0" w:rsidRPr="000572AB" w:rsidRDefault="00897CC0" w:rsidP="00D542E2">
      <w:pPr>
        <w:pStyle w:val="a2"/>
        <w:spacing w:after="0" w:line="240" w:lineRule="auto"/>
        <w:contextualSpacing/>
        <w:jc w:val="both"/>
        <w:rPr>
          <w:rFonts w:ascii="Times New Roman" w:hAnsi="Times New Roman"/>
          <w:b/>
          <w:sz w:val="20"/>
          <w:szCs w:val="20"/>
        </w:rPr>
      </w:pPr>
    </w:p>
    <w:p w:rsidR="000B4EFE" w:rsidRPr="000572AB" w:rsidRDefault="000B4EFE" w:rsidP="00D542E2">
      <w:pPr>
        <w:pStyle w:val="a2"/>
        <w:spacing w:after="0" w:line="240" w:lineRule="auto"/>
        <w:contextualSpacing/>
        <w:jc w:val="both"/>
        <w:rPr>
          <w:rFonts w:ascii="Times New Roman" w:hAnsi="Times New Roman"/>
          <w:sz w:val="20"/>
          <w:szCs w:val="20"/>
        </w:rPr>
      </w:pPr>
      <w:r w:rsidRPr="000572AB">
        <w:rPr>
          <w:rFonts w:ascii="Times New Roman" w:hAnsi="Times New Roman"/>
          <w:b/>
          <w:sz w:val="20"/>
          <w:szCs w:val="20"/>
        </w:rPr>
        <w:t>Адміністративні витрати,</w:t>
      </w:r>
      <w:r w:rsidRPr="000572AB">
        <w:rPr>
          <w:rFonts w:ascii="Times New Roman" w:hAnsi="Times New Roman"/>
          <w:sz w:val="20"/>
          <w:szCs w:val="20"/>
        </w:rPr>
        <w:t xml:space="preserve"> пов'язані з утриманням та обслуговуванням Товариства, у </w:t>
      </w:r>
      <w:r w:rsidR="00312F25" w:rsidRPr="000572AB">
        <w:rPr>
          <w:rFonts w:ascii="Times New Roman" w:hAnsi="Times New Roman"/>
          <w:sz w:val="20"/>
          <w:szCs w:val="20"/>
        </w:rPr>
        <w:t>201</w:t>
      </w:r>
      <w:r w:rsidR="00956B00" w:rsidRPr="000572AB">
        <w:rPr>
          <w:rFonts w:ascii="Times New Roman" w:hAnsi="Times New Roman"/>
          <w:sz w:val="20"/>
          <w:szCs w:val="20"/>
        </w:rPr>
        <w:t>7</w:t>
      </w:r>
      <w:r w:rsidRPr="000572AB">
        <w:rPr>
          <w:rFonts w:ascii="Times New Roman" w:hAnsi="Times New Roman"/>
          <w:sz w:val="20"/>
          <w:szCs w:val="20"/>
        </w:rPr>
        <w:t xml:space="preserve"> році склали </w:t>
      </w:r>
      <w:r w:rsidR="00C459BB" w:rsidRPr="000572AB">
        <w:rPr>
          <w:rFonts w:ascii="Times New Roman" w:hAnsi="Times New Roman"/>
          <w:sz w:val="20"/>
          <w:szCs w:val="20"/>
        </w:rPr>
        <w:t>866</w:t>
      </w:r>
      <w:r w:rsidR="00312F25" w:rsidRPr="000572AB">
        <w:rPr>
          <w:rFonts w:ascii="Times New Roman" w:hAnsi="Times New Roman"/>
          <w:sz w:val="20"/>
          <w:szCs w:val="20"/>
        </w:rPr>
        <w:t xml:space="preserve"> </w:t>
      </w:r>
      <w:r w:rsidRPr="000572AB">
        <w:rPr>
          <w:rFonts w:ascii="Times New Roman" w:hAnsi="Times New Roman"/>
          <w:sz w:val="20"/>
          <w:szCs w:val="20"/>
        </w:rPr>
        <w:t>тис. грн.</w:t>
      </w:r>
      <w:r w:rsidR="00433FD7" w:rsidRPr="000572AB">
        <w:rPr>
          <w:rFonts w:ascii="Times New Roman" w:hAnsi="Times New Roman"/>
          <w:sz w:val="20"/>
          <w:szCs w:val="20"/>
        </w:rPr>
        <w:t>, в т.ч.:</w:t>
      </w:r>
    </w:p>
    <w:p w:rsidR="000C1F92" w:rsidRPr="000572AB" w:rsidRDefault="000C1F92" w:rsidP="00D542E2">
      <w:pPr>
        <w:pStyle w:val="a2"/>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 xml:space="preserve">- матеріальні затрати – </w:t>
      </w:r>
      <w:r w:rsidR="00C459BB" w:rsidRPr="000572AB">
        <w:rPr>
          <w:rFonts w:ascii="Times New Roman" w:hAnsi="Times New Roman"/>
          <w:sz w:val="20"/>
          <w:szCs w:val="20"/>
        </w:rPr>
        <w:t>1</w:t>
      </w:r>
      <w:r w:rsidRPr="000572AB">
        <w:rPr>
          <w:rFonts w:ascii="Times New Roman" w:hAnsi="Times New Roman"/>
          <w:sz w:val="20"/>
          <w:szCs w:val="20"/>
        </w:rPr>
        <w:t xml:space="preserve"> тис. грн.</w:t>
      </w:r>
    </w:p>
    <w:p w:rsidR="00433FD7" w:rsidRPr="000572AB" w:rsidRDefault="00433FD7" w:rsidP="00D542E2">
      <w:pPr>
        <w:pStyle w:val="a2"/>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 xml:space="preserve">- витрати на заробітну плату - </w:t>
      </w:r>
      <w:r w:rsidR="00C459BB" w:rsidRPr="000572AB">
        <w:rPr>
          <w:rFonts w:ascii="Times New Roman" w:hAnsi="Times New Roman"/>
          <w:sz w:val="20"/>
          <w:szCs w:val="20"/>
        </w:rPr>
        <w:t>472</w:t>
      </w:r>
      <w:r w:rsidRPr="000572AB">
        <w:rPr>
          <w:rFonts w:ascii="Times New Roman" w:hAnsi="Times New Roman"/>
          <w:sz w:val="20"/>
          <w:szCs w:val="20"/>
        </w:rPr>
        <w:t xml:space="preserve"> тис. грн.;</w:t>
      </w:r>
    </w:p>
    <w:p w:rsidR="00433FD7" w:rsidRPr="000572AB" w:rsidRDefault="00433FD7" w:rsidP="00D542E2">
      <w:pPr>
        <w:pStyle w:val="a2"/>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 xml:space="preserve">- витрати на соціальні заходи - </w:t>
      </w:r>
      <w:r w:rsidR="00C459BB" w:rsidRPr="000572AB">
        <w:rPr>
          <w:rFonts w:ascii="Times New Roman" w:hAnsi="Times New Roman"/>
          <w:sz w:val="20"/>
          <w:szCs w:val="20"/>
        </w:rPr>
        <w:t>98</w:t>
      </w:r>
      <w:r w:rsidRPr="000572AB">
        <w:rPr>
          <w:rFonts w:ascii="Times New Roman" w:hAnsi="Times New Roman"/>
          <w:sz w:val="20"/>
          <w:szCs w:val="20"/>
        </w:rPr>
        <w:t xml:space="preserve"> тис. грн.;</w:t>
      </w:r>
    </w:p>
    <w:p w:rsidR="00433FD7" w:rsidRPr="000572AB" w:rsidRDefault="00433FD7" w:rsidP="00D542E2">
      <w:pPr>
        <w:pStyle w:val="a2"/>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 xml:space="preserve">- амортизація основних засобів - </w:t>
      </w:r>
      <w:r w:rsidR="00C459BB" w:rsidRPr="000572AB">
        <w:rPr>
          <w:rFonts w:ascii="Times New Roman" w:hAnsi="Times New Roman"/>
          <w:sz w:val="20"/>
          <w:szCs w:val="20"/>
        </w:rPr>
        <w:t>2</w:t>
      </w:r>
      <w:r w:rsidRPr="000572AB">
        <w:rPr>
          <w:rFonts w:ascii="Times New Roman" w:hAnsi="Times New Roman"/>
          <w:sz w:val="20"/>
          <w:szCs w:val="20"/>
        </w:rPr>
        <w:t xml:space="preserve"> тис. грн.;</w:t>
      </w:r>
    </w:p>
    <w:p w:rsidR="00D44175" w:rsidRPr="000572AB" w:rsidRDefault="00433FD7" w:rsidP="00D542E2">
      <w:pPr>
        <w:pStyle w:val="a2"/>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 xml:space="preserve">- </w:t>
      </w:r>
      <w:r w:rsidR="00312F25" w:rsidRPr="000572AB">
        <w:rPr>
          <w:rFonts w:ascii="Times New Roman" w:hAnsi="Times New Roman"/>
          <w:sz w:val="20"/>
          <w:szCs w:val="20"/>
        </w:rPr>
        <w:t xml:space="preserve">інші </w:t>
      </w:r>
      <w:r w:rsidRPr="000572AB">
        <w:rPr>
          <w:rFonts w:ascii="Times New Roman" w:hAnsi="Times New Roman"/>
          <w:sz w:val="20"/>
          <w:szCs w:val="20"/>
        </w:rPr>
        <w:t xml:space="preserve">витрати </w:t>
      </w:r>
      <w:r w:rsidR="000C1F92" w:rsidRPr="000572AB">
        <w:rPr>
          <w:rFonts w:ascii="Times New Roman" w:hAnsi="Times New Roman"/>
          <w:sz w:val="20"/>
          <w:szCs w:val="20"/>
        </w:rPr>
        <w:t>–</w:t>
      </w:r>
      <w:r w:rsidRPr="000572AB">
        <w:rPr>
          <w:rFonts w:ascii="Times New Roman" w:hAnsi="Times New Roman"/>
          <w:sz w:val="20"/>
          <w:szCs w:val="20"/>
        </w:rPr>
        <w:t xml:space="preserve"> </w:t>
      </w:r>
      <w:r w:rsidR="00000C35" w:rsidRPr="000572AB">
        <w:rPr>
          <w:rFonts w:ascii="Times New Roman" w:hAnsi="Times New Roman"/>
          <w:sz w:val="20"/>
          <w:szCs w:val="20"/>
        </w:rPr>
        <w:t>293</w:t>
      </w:r>
      <w:r w:rsidR="000C1F92" w:rsidRPr="000572AB">
        <w:rPr>
          <w:rFonts w:ascii="Times New Roman" w:hAnsi="Times New Roman"/>
          <w:sz w:val="20"/>
          <w:szCs w:val="20"/>
        </w:rPr>
        <w:t xml:space="preserve"> </w:t>
      </w:r>
      <w:r w:rsidRPr="000572AB">
        <w:rPr>
          <w:rFonts w:ascii="Times New Roman" w:hAnsi="Times New Roman"/>
          <w:sz w:val="20"/>
          <w:szCs w:val="20"/>
        </w:rPr>
        <w:t>тис. грн</w:t>
      </w:r>
      <w:r w:rsidR="00D44175" w:rsidRPr="000572AB">
        <w:rPr>
          <w:rFonts w:ascii="Times New Roman" w:hAnsi="Times New Roman"/>
          <w:sz w:val="20"/>
          <w:szCs w:val="20"/>
        </w:rPr>
        <w:t>.</w:t>
      </w:r>
      <w:r w:rsidR="00000C35" w:rsidRPr="000572AB">
        <w:rPr>
          <w:rFonts w:ascii="Times New Roman" w:hAnsi="Times New Roman"/>
          <w:sz w:val="20"/>
          <w:szCs w:val="20"/>
        </w:rPr>
        <w:t>, з них</w:t>
      </w:r>
      <w:r w:rsidR="00D44175" w:rsidRPr="000572AB">
        <w:rPr>
          <w:rFonts w:ascii="Times New Roman" w:hAnsi="Times New Roman"/>
          <w:sz w:val="20"/>
          <w:szCs w:val="20"/>
        </w:rPr>
        <w:t>:</w:t>
      </w:r>
    </w:p>
    <w:p w:rsidR="00972F0A" w:rsidRPr="000572AB" w:rsidRDefault="00972F0A" w:rsidP="00D542E2">
      <w:pPr>
        <w:pStyle w:val="a2"/>
        <w:numPr>
          <w:ilvl w:val="0"/>
          <w:numId w:val="17"/>
        </w:numPr>
        <w:spacing w:after="0" w:line="240" w:lineRule="auto"/>
        <w:contextualSpacing/>
        <w:jc w:val="both"/>
        <w:rPr>
          <w:rFonts w:ascii="Times New Roman" w:hAnsi="Times New Roman"/>
          <w:sz w:val="20"/>
          <w:szCs w:val="20"/>
        </w:rPr>
      </w:pPr>
      <w:r w:rsidRPr="000572AB">
        <w:rPr>
          <w:rFonts w:ascii="Times New Roman" w:hAnsi="Times New Roman"/>
          <w:sz w:val="20"/>
          <w:szCs w:val="20"/>
        </w:rPr>
        <w:t xml:space="preserve"> послуги, пов’язані з фондовим ринком (реєстраційні, депоозитарні послуги – 65 тис. грн.;</w:t>
      </w:r>
    </w:p>
    <w:p w:rsidR="00D44175" w:rsidRPr="000572AB" w:rsidRDefault="00D44175" w:rsidP="00D542E2">
      <w:pPr>
        <w:pStyle w:val="a2"/>
        <w:numPr>
          <w:ilvl w:val="0"/>
          <w:numId w:val="17"/>
        </w:numPr>
        <w:spacing w:after="0" w:line="240" w:lineRule="auto"/>
        <w:contextualSpacing/>
        <w:jc w:val="both"/>
        <w:rPr>
          <w:rFonts w:ascii="Times New Roman" w:hAnsi="Times New Roman"/>
          <w:sz w:val="20"/>
          <w:szCs w:val="20"/>
        </w:rPr>
      </w:pPr>
      <w:r w:rsidRPr="000572AB">
        <w:rPr>
          <w:rFonts w:ascii="Times New Roman" w:hAnsi="Times New Roman"/>
          <w:sz w:val="20"/>
          <w:szCs w:val="20"/>
        </w:rPr>
        <w:t xml:space="preserve">оренда </w:t>
      </w:r>
      <w:r w:rsidR="00EA0B5D" w:rsidRPr="000572AB">
        <w:rPr>
          <w:rFonts w:ascii="Times New Roman" w:hAnsi="Times New Roman"/>
          <w:sz w:val="20"/>
          <w:szCs w:val="20"/>
        </w:rPr>
        <w:t>–</w:t>
      </w:r>
      <w:r w:rsidRPr="000572AB">
        <w:rPr>
          <w:rFonts w:ascii="Times New Roman" w:hAnsi="Times New Roman"/>
          <w:sz w:val="20"/>
          <w:szCs w:val="20"/>
        </w:rPr>
        <w:t xml:space="preserve"> </w:t>
      </w:r>
      <w:r w:rsidR="00EA0B5D" w:rsidRPr="000572AB">
        <w:rPr>
          <w:rFonts w:ascii="Times New Roman" w:hAnsi="Times New Roman"/>
          <w:sz w:val="20"/>
          <w:szCs w:val="20"/>
          <w:lang w:val="ru-RU"/>
        </w:rPr>
        <w:t>4</w:t>
      </w:r>
      <w:r w:rsidR="00972F0A" w:rsidRPr="000572AB">
        <w:rPr>
          <w:rFonts w:ascii="Times New Roman" w:hAnsi="Times New Roman"/>
          <w:sz w:val="20"/>
          <w:szCs w:val="20"/>
          <w:lang w:val="ru-RU"/>
        </w:rPr>
        <w:t>9</w:t>
      </w:r>
      <w:r w:rsidR="00EA0B5D" w:rsidRPr="000572AB">
        <w:rPr>
          <w:rFonts w:ascii="Times New Roman" w:hAnsi="Times New Roman"/>
          <w:sz w:val="20"/>
          <w:szCs w:val="20"/>
          <w:lang w:val="ru-RU"/>
        </w:rPr>
        <w:t xml:space="preserve"> </w:t>
      </w:r>
      <w:r w:rsidR="004E651A" w:rsidRPr="000572AB">
        <w:rPr>
          <w:rFonts w:ascii="Times New Roman" w:hAnsi="Times New Roman"/>
          <w:sz w:val="20"/>
          <w:szCs w:val="20"/>
        </w:rPr>
        <w:t xml:space="preserve">тис. грн. </w:t>
      </w:r>
      <w:r w:rsidRPr="000572AB">
        <w:rPr>
          <w:rFonts w:ascii="Times New Roman" w:hAnsi="Times New Roman"/>
          <w:sz w:val="20"/>
          <w:szCs w:val="20"/>
        </w:rPr>
        <w:t>;</w:t>
      </w:r>
    </w:p>
    <w:p w:rsidR="00EA0B5D" w:rsidRPr="000572AB" w:rsidRDefault="00362CC2" w:rsidP="00D542E2">
      <w:pPr>
        <w:pStyle w:val="a2"/>
        <w:numPr>
          <w:ilvl w:val="0"/>
          <w:numId w:val="17"/>
        </w:numPr>
        <w:spacing w:after="0" w:line="240" w:lineRule="auto"/>
        <w:contextualSpacing/>
        <w:jc w:val="both"/>
        <w:rPr>
          <w:rFonts w:ascii="Times New Roman" w:hAnsi="Times New Roman"/>
          <w:sz w:val="20"/>
          <w:szCs w:val="20"/>
        </w:rPr>
      </w:pPr>
      <w:r w:rsidRPr="000572AB">
        <w:rPr>
          <w:rFonts w:ascii="Times New Roman" w:hAnsi="Times New Roman"/>
          <w:sz w:val="20"/>
          <w:szCs w:val="20"/>
          <w:lang w:val="ru-RU"/>
        </w:rPr>
        <w:t>нотарі</w:t>
      </w:r>
      <w:r w:rsidR="00EA0B5D" w:rsidRPr="000572AB">
        <w:rPr>
          <w:rFonts w:ascii="Times New Roman" w:hAnsi="Times New Roman"/>
          <w:sz w:val="20"/>
          <w:szCs w:val="20"/>
          <w:lang w:val="ru-RU"/>
        </w:rPr>
        <w:t>альн</w:t>
      </w:r>
      <w:r w:rsidR="00972F0A" w:rsidRPr="000572AB">
        <w:rPr>
          <w:rFonts w:ascii="Times New Roman" w:hAnsi="Times New Roman"/>
          <w:sz w:val="20"/>
          <w:szCs w:val="20"/>
          <w:lang w:val="ru-RU"/>
        </w:rPr>
        <w:t>і</w:t>
      </w:r>
      <w:r w:rsidR="00EA0B5D" w:rsidRPr="000572AB">
        <w:rPr>
          <w:rFonts w:ascii="Times New Roman" w:hAnsi="Times New Roman"/>
          <w:sz w:val="20"/>
          <w:szCs w:val="20"/>
          <w:lang w:val="ru-RU"/>
        </w:rPr>
        <w:t xml:space="preserve"> послуг</w:t>
      </w:r>
      <w:r w:rsidR="00972F0A" w:rsidRPr="000572AB">
        <w:rPr>
          <w:rFonts w:ascii="Times New Roman" w:hAnsi="Times New Roman"/>
          <w:sz w:val="20"/>
          <w:szCs w:val="20"/>
          <w:lang w:val="ru-RU"/>
        </w:rPr>
        <w:t>и</w:t>
      </w:r>
      <w:r w:rsidR="00EA0B5D" w:rsidRPr="000572AB">
        <w:rPr>
          <w:rFonts w:ascii="Times New Roman" w:hAnsi="Times New Roman"/>
          <w:sz w:val="20"/>
          <w:szCs w:val="20"/>
          <w:lang w:val="ru-RU"/>
        </w:rPr>
        <w:t xml:space="preserve"> </w:t>
      </w:r>
      <w:r w:rsidRPr="000572AB">
        <w:rPr>
          <w:rFonts w:ascii="Times New Roman" w:hAnsi="Times New Roman"/>
          <w:sz w:val="20"/>
          <w:szCs w:val="20"/>
          <w:lang w:val="ru-RU"/>
        </w:rPr>
        <w:t>–</w:t>
      </w:r>
      <w:r w:rsidR="00EA0B5D" w:rsidRPr="000572AB">
        <w:rPr>
          <w:rFonts w:ascii="Times New Roman" w:hAnsi="Times New Roman"/>
          <w:sz w:val="20"/>
          <w:szCs w:val="20"/>
          <w:lang w:val="ru-RU"/>
        </w:rPr>
        <w:t xml:space="preserve"> </w:t>
      </w:r>
      <w:r w:rsidRPr="000572AB">
        <w:rPr>
          <w:rFonts w:ascii="Times New Roman" w:hAnsi="Times New Roman"/>
          <w:sz w:val="20"/>
          <w:szCs w:val="20"/>
          <w:lang w:val="ru-RU"/>
        </w:rPr>
        <w:t>46 тис. Грн;</w:t>
      </w:r>
    </w:p>
    <w:p w:rsidR="00972F0A" w:rsidRPr="000572AB" w:rsidRDefault="00972F0A" w:rsidP="00D542E2">
      <w:pPr>
        <w:pStyle w:val="a2"/>
        <w:numPr>
          <w:ilvl w:val="0"/>
          <w:numId w:val="17"/>
        </w:numPr>
        <w:spacing w:after="0" w:line="240" w:lineRule="auto"/>
        <w:contextualSpacing/>
        <w:jc w:val="both"/>
        <w:rPr>
          <w:rFonts w:ascii="Times New Roman" w:hAnsi="Times New Roman"/>
          <w:sz w:val="20"/>
          <w:szCs w:val="20"/>
        </w:rPr>
      </w:pPr>
      <w:r w:rsidRPr="000572AB">
        <w:rPr>
          <w:rFonts w:ascii="Times New Roman" w:hAnsi="Times New Roman"/>
          <w:sz w:val="20"/>
          <w:szCs w:val="20"/>
        </w:rPr>
        <w:t xml:space="preserve">витрати на оплату аудиторських послуг -   </w:t>
      </w:r>
      <w:r w:rsidR="00AA7C10" w:rsidRPr="000572AB">
        <w:rPr>
          <w:rFonts w:ascii="Times New Roman" w:hAnsi="Times New Roman"/>
          <w:sz w:val="20"/>
          <w:szCs w:val="20"/>
        </w:rPr>
        <w:t>4</w:t>
      </w:r>
      <w:r w:rsidRPr="000572AB">
        <w:rPr>
          <w:rFonts w:ascii="Times New Roman" w:hAnsi="Times New Roman"/>
          <w:sz w:val="20"/>
          <w:szCs w:val="20"/>
          <w:lang w:val="ru-RU"/>
        </w:rPr>
        <w:t xml:space="preserve">6 </w:t>
      </w:r>
      <w:r w:rsidRPr="000572AB">
        <w:rPr>
          <w:rFonts w:ascii="Times New Roman" w:hAnsi="Times New Roman"/>
          <w:sz w:val="20"/>
          <w:szCs w:val="20"/>
        </w:rPr>
        <w:t>тис. грн.;</w:t>
      </w:r>
    </w:p>
    <w:p w:rsidR="00362CC2" w:rsidRPr="000572AB" w:rsidRDefault="00362CC2" w:rsidP="00D542E2">
      <w:pPr>
        <w:pStyle w:val="a2"/>
        <w:numPr>
          <w:ilvl w:val="0"/>
          <w:numId w:val="17"/>
        </w:numPr>
        <w:spacing w:after="0" w:line="240" w:lineRule="auto"/>
        <w:contextualSpacing/>
        <w:jc w:val="both"/>
        <w:rPr>
          <w:rFonts w:ascii="Times New Roman" w:hAnsi="Times New Roman"/>
          <w:sz w:val="20"/>
          <w:szCs w:val="20"/>
        </w:rPr>
      </w:pPr>
      <w:r w:rsidRPr="000572AB">
        <w:rPr>
          <w:rFonts w:ascii="Times New Roman" w:hAnsi="Times New Roman"/>
          <w:sz w:val="20"/>
          <w:szCs w:val="20"/>
          <w:lang w:val="ru-RU"/>
        </w:rPr>
        <w:t>за розрахунково – касові, банківські послуги – 16 тис. грн</w:t>
      </w:r>
    </w:p>
    <w:p w:rsidR="00EA0B5D" w:rsidRPr="000572AB" w:rsidRDefault="00972F0A" w:rsidP="00D542E2">
      <w:pPr>
        <w:pStyle w:val="a2"/>
        <w:numPr>
          <w:ilvl w:val="0"/>
          <w:numId w:val="17"/>
        </w:numPr>
        <w:spacing w:after="0" w:line="240" w:lineRule="auto"/>
        <w:contextualSpacing/>
        <w:jc w:val="both"/>
        <w:rPr>
          <w:rFonts w:ascii="Times New Roman" w:hAnsi="Times New Roman"/>
          <w:sz w:val="20"/>
          <w:szCs w:val="20"/>
        </w:rPr>
      </w:pPr>
      <w:r w:rsidRPr="000572AB">
        <w:rPr>
          <w:rFonts w:ascii="Times New Roman" w:hAnsi="Times New Roman"/>
          <w:sz w:val="20"/>
          <w:szCs w:val="20"/>
        </w:rPr>
        <w:t xml:space="preserve">обов’язкове навчання та підвищення кваліфікації </w:t>
      </w:r>
      <w:r w:rsidR="00EA0B5D" w:rsidRPr="000572AB">
        <w:rPr>
          <w:rFonts w:ascii="Times New Roman" w:hAnsi="Times New Roman"/>
          <w:sz w:val="20"/>
          <w:szCs w:val="20"/>
        </w:rPr>
        <w:t xml:space="preserve"> -</w:t>
      </w:r>
      <w:r w:rsidRPr="000572AB">
        <w:rPr>
          <w:rFonts w:ascii="Times New Roman" w:hAnsi="Times New Roman"/>
          <w:sz w:val="20"/>
          <w:szCs w:val="20"/>
        </w:rPr>
        <w:t xml:space="preserve"> 11 тис. грн</w:t>
      </w:r>
      <w:r w:rsidR="00EA0B5D" w:rsidRPr="000572AB">
        <w:rPr>
          <w:rFonts w:ascii="Times New Roman" w:hAnsi="Times New Roman"/>
          <w:sz w:val="20"/>
          <w:szCs w:val="20"/>
        </w:rPr>
        <w:t xml:space="preserve"> </w:t>
      </w:r>
    </w:p>
    <w:p w:rsidR="00433FD7" w:rsidRPr="000572AB" w:rsidRDefault="00D44175" w:rsidP="00D542E2">
      <w:pPr>
        <w:pStyle w:val="a2"/>
        <w:numPr>
          <w:ilvl w:val="0"/>
          <w:numId w:val="17"/>
        </w:numPr>
        <w:spacing w:after="0" w:line="240" w:lineRule="auto"/>
        <w:contextualSpacing/>
        <w:jc w:val="both"/>
        <w:rPr>
          <w:rFonts w:ascii="Times New Roman" w:hAnsi="Times New Roman"/>
          <w:sz w:val="20"/>
          <w:szCs w:val="20"/>
        </w:rPr>
      </w:pPr>
      <w:r w:rsidRPr="000572AB">
        <w:rPr>
          <w:rFonts w:ascii="Times New Roman" w:hAnsi="Times New Roman"/>
          <w:sz w:val="20"/>
          <w:szCs w:val="20"/>
        </w:rPr>
        <w:t>витрати на оплату інформаційних</w:t>
      </w:r>
      <w:r w:rsidR="004E651A" w:rsidRPr="000572AB">
        <w:rPr>
          <w:rFonts w:ascii="Times New Roman" w:hAnsi="Times New Roman"/>
          <w:sz w:val="20"/>
          <w:szCs w:val="20"/>
        </w:rPr>
        <w:t>, консультаційних та інших послуг</w:t>
      </w:r>
      <w:r w:rsidRPr="000572AB">
        <w:rPr>
          <w:rFonts w:ascii="Times New Roman" w:hAnsi="Times New Roman"/>
          <w:sz w:val="20"/>
          <w:szCs w:val="20"/>
        </w:rPr>
        <w:t xml:space="preserve"> </w:t>
      </w:r>
      <w:r w:rsidR="00AA7C10" w:rsidRPr="000572AB">
        <w:rPr>
          <w:rFonts w:ascii="Times New Roman" w:hAnsi="Times New Roman"/>
          <w:sz w:val="20"/>
          <w:szCs w:val="20"/>
        </w:rPr>
        <w:t>–</w:t>
      </w:r>
      <w:r w:rsidRPr="000572AB">
        <w:rPr>
          <w:rFonts w:ascii="Times New Roman" w:hAnsi="Times New Roman"/>
          <w:sz w:val="20"/>
          <w:szCs w:val="20"/>
        </w:rPr>
        <w:t xml:space="preserve"> </w:t>
      </w:r>
      <w:r w:rsidR="00AA7C10" w:rsidRPr="000572AB">
        <w:rPr>
          <w:rFonts w:ascii="Times New Roman" w:hAnsi="Times New Roman"/>
          <w:sz w:val="20"/>
          <w:szCs w:val="20"/>
        </w:rPr>
        <w:t xml:space="preserve">60 </w:t>
      </w:r>
      <w:r w:rsidRPr="000572AB">
        <w:rPr>
          <w:rFonts w:ascii="Times New Roman" w:hAnsi="Times New Roman"/>
          <w:sz w:val="20"/>
          <w:szCs w:val="20"/>
        </w:rPr>
        <w:t>тис. грн</w:t>
      </w:r>
      <w:r w:rsidR="004E651A" w:rsidRPr="000572AB">
        <w:rPr>
          <w:rFonts w:ascii="Times New Roman" w:hAnsi="Times New Roman"/>
          <w:sz w:val="20"/>
          <w:szCs w:val="20"/>
        </w:rPr>
        <w:t xml:space="preserve">. </w:t>
      </w:r>
    </w:p>
    <w:p w:rsidR="00897CC0" w:rsidRPr="000572AB" w:rsidRDefault="00897CC0" w:rsidP="00D542E2">
      <w:pPr>
        <w:pStyle w:val="33"/>
        <w:spacing w:after="0"/>
        <w:jc w:val="both"/>
        <w:rPr>
          <w:sz w:val="20"/>
          <w:szCs w:val="20"/>
        </w:rPr>
      </w:pPr>
      <w:r w:rsidRPr="000572AB">
        <w:rPr>
          <w:sz w:val="20"/>
          <w:szCs w:val="20"/>
        </w:rPr>
        <w:t>Структура адміністративних витрат за 2016 - 2017 роки:</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3"/>
        <w:gridCol w:w="1982"/>
        <w:gridCol w:w="2126"/>
      </w:tblGrid>
      <w:tr w:rsidR="00897CC0" w:rsidRPr="000572AB" w:rsidTr="00AB26D5">
        <w:trPr>
          <w:trHeight w:val="297"/>
          <w:tblHeader/>
        </w:trPr>
        <w:tc>
          <w:tcPr>
            <w:tcW w:w="5263" w:type="dxa"/>
            <w:tcBorders>
              <w:top w:val="single" w:sz="4" w:space="0" w:color="auto"/>
              <w:left w:val="single" w:sz="4" w:space="0" w:color="auto"/>
              <w:bottom w:val="single" w:sz="4" w:space="0" w:color="auto"/>
              <w:right w:val="single" w:sz="4" w:space="0" w:color="auto"/>
            </w:tcBorders>
            <w:vAlign w:val="center"/>
            <w:hideMark/>
          </w:tcPr>
          <w:p w:rsidR="00897CC0" w:rsidRPr="000572AB" w:rsidRDefault="00D70EDB" w:rsidP="00D542E2">
            <w:pPr>
              <w:pStyle w:val="a2"/>
              <w:spacing w:after="0" w:line="240" w:lineRule="auto"/>
              <w:contextualSpacing/>
              <w:rPr>
                <w:rFonts w:ascii="Times New Roman" w:hAnsi="Times New Roman"/>
                <w:sz w:val="20"/>
                <w:szCs w:val="20"/>
              </w:rPr>
            </w:pPr>
            <w:r w:rsidRPr="000572AB">
              <w:rPr>
                <w:rFonts w:ascii="Times New Roman" w:hAnsi="Times New Roman"/>
                <w:b/>
                <w:bCs/>
                <w:sz w:val="20"/>
                <w:szCs w:val="20"/>
              </w:rPr>
              <w:t>Вид</w:t>
            </w:r>
          </w:p>
        </w:tc>
        <w:tc>
          <w:tcPr>
            <w:tcW w:w="1982" w:type="dxa"/>
            <w:tcBorders>
              <w:top w:val="single" w:sz="4" w:space="0" w:color="auto"/>
              <w:left w:val="single" w:sz="4" w:space="0" w:color="auto"/>
              <w:bottom w:val="single" w:sz="4" w:space="0" w:color="auto"/>
              <w:right w:val="single" w:sz="4" w:space="0" w:color="auto"/>
            </w:tcBorders>
            <w:vAlign w:val="center"/>
            <w:hideMark/>
          </w:tcPr>
          <w:p w:rsidR="00897CC0" w:rsidRPr="000572AB" w:rsidRDefault="00897CC0" w:rsidP="00D542E2">
            <w:pPr>
              <w:spacing w:after="0" w:line="240" w:lineRule="auto"/>
              <w:jc w:val="center"/>
              <w:rPr>
                <w:rFonts w:ascii="Times New Roman" w:hAnsi="Times New Roman"/>
                <w:b/>
                <w:sz w:val="20"/>
                <w:szCs w:val="20"/>
              </w:rPr>
            </w:pPr>
            <w:r w:rsidRPr="000572AB">
              <w:rPr>
                <w:rFonts w:ascii="Times New Roman" w:hAnsi="Times New Roman"/>
                <w:b/>
                <w:sz w:val="20"/>
                <w:szCs w:val="20"/>
              </w:rPr>
              <w:t>2016 рік, тис. грн.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7CC0" w:rsidRPr="000572AB" w:rsidRDefault="00897CC0" w:rsidP="00D542E2">
            <w:pPr>
              <w:spacing w:after="0" w:line="240" w:lineRule="auto"/>
              <w:jc w:val="center"/>
              <w:rPr>
                <w:rFonts w:ascii="Times New Roman" w:hAnsi="Times New Roman"/>
                <w:b/>
                <w:sz w:val="20"/>
                <w:szCs w:val="20"/>
              </w:rPr>
            </w:pPr>
            <w:r w:rsidRPr="000572AB">
              <w:rPr>
                <w:rFonts w:ascii="Times New Roman" w:hAnsi="Times New Roman"/>
                <w:b/>
                <w:sz w:val="20"/>
                <w:szCs w:val="20"/>
              </w:rPr>
              <w:t>2017 рік, тис. грн.</w:t>
            </w:r>
          </w:p>
        </w:tc>
      </w:tr>
      <w:tr w:rsidR="00897CC0" w:rsidRPr="000572AB" w:rsidTr="00AB26D5">
        <w:trPr>
          <w:trHeight w:val="257"/>
          <w:tblHeader/>
        </w:trPr>
        <w:tc>
          <w:tcPr>
            <w:tcW w:w="5263" w:type="dxa"/>
            <w:tcBorders>
              <w:top w:val="single" w:sz="4" w:space="0" w:color="auto"/>
              <w:left w:val="single" w:sz="4" w:space="0" w:color="auto"/>
              <w:bottom w:val="single" w:sz="4" w:space="0" w:color="auto"/>
              <w:right w:val="single" w:sz="4" w:space="0" w:color="auto"/>
            </w:tcBorders>
            <w:hideMark/>
          </w:tcPr>
          <w:p w:rsidR="00897CC0" w:rsidRPr="000572AB" w:rsidRDefault="00897CC0" w:rsidP="00D542E2">
            <w:pPr>
              <w:pStyle w:val="a2"/>
              <w:spacing w:after="0" w:line="240" w:lineRule="auto"/>
              <w:contextualSpacing/>
              <w:jc w:val="both"/>
              <w:rPr>
                <w:rFonts w:ascii="Times New Roman" w:hAnsi="Times New Roman"/>
                <w:sz w:val="20"/>
                <w:szCs w:val="20"/>
              </w:rPr>
            </w:pPr>
            <w:r w:rsidRPr="000572AB">
              <w:rPr>
                <w:rFonts w:ascii="Times New Roman" w:hAnsi="Times New Roman"/>
                <w:sz w:val="20"/>
                <w:szCs w:val="20"/>
              </w:rPr>
              <w:t xml:space="preserve">Матеріальні затрати </w:t>
            </w:r>
          </w:p>
        </w:tc>
        <w:tc>
          <w:tcPr>
            <w:tcW w:w="1982" w:type="dxa"/>
            <w:tcBorders>
              <w:top w:val="single" w:sz="4" w:space="0" w:color="auto"/>
              <w:left w:val="single" w:sz="4" w:space="0" w:color="auto"/>
              <w:bottom w:val="single" w:sz="4" w:space="0" w:color="auto"/>
              <w:right w:val="single" w:sz="4" w:space="0" w:color="auto"/>
            </w:tcBorders>
            <w:vAlign w:val="center"/>
            <w:hideMark/>
          </w:tcPr>
          <w:p w:rsidR="00897CC0" w:rsidRPr="000572AB" w:rsidRDefault="00897CC0" w:rsidP="00D542E2">
            <w:pPr>
              <w:spacing w:after="0" w:line="240" w:lineRule="auto"/>
              <w:jc w:val="right"/>
              <w:rPr>
                <w:rFonts w:ascii="Times New Roman" w:hAnsi="Times New Roman"/>
                <w:sz w:val="20"/>
                <w:szCs w:val="20"/>
              </w:rPr>
            </w:pPr>
            <w:r w:rsidRPr="000572AB">
              <w:rPr>
                <w:rFonts w:ascii="Times New Roman" w:hAnsi="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7CC0" w:rsidRPr="000572AB" w:rsidRDefault="00897CC0" w:rsidP="00D542E2">
            <w:pPr>
              <w:spacing w:after="0" w:line="240" w:lineRule="auto"/>
              <w:jc w:val="right"/>
              <w:rPr>
                <w:rFonts w:ascii="Times New Roman" w:hAnsi="Times New Roman"/>
                <w:sz w:val="20"/>
                <w:szCs w:val="20"/>
              </w:rPr>
            </w:pPr>
            <w:r w:rsidRPr="000572AB">
              <w:rPr>
                <w:rFonts w:ascii="Times New Roman" w:hAnsi="Times New Roman"/>
                <w:sz w:val="20"/>
                <w:szCs w:val="20"/>
              </w:rPr>
              <w:t>1</w:t>
            </w:r>
          </w:p>
        </w:tc>
      </w:tr>
      <w:tr w:rsidR="00897CC0" w:rsidRPr="000572AB" w:rsidTr="00AB26D5">
        <w:trPr>
          <w:trHeight w:val="255"/>
        </w:trPr>
        <w:tc>
          <w:tcPr>
            <w:tcW w:w="5263" w:type="dxa"/>
            <w:tcBorders>
              <w:top w:val="single" w:sz="4" w:space="0" w:color="auto"/>
              <w:left w:val="single" w:sz="4" w:space="0" w:color="auto"/>
              <w:bottom w:val="single" w:sz="4" w:space="0" w:color="auto"/>
              <w:right w:val="single" w:sz="4" w:space="0" w:color="auto"/>
            </w:tcBorders>
            <w:noWrap/>
            <w:hideMark/>
          </w:tcPr>
          <w:p w:rsidR="00897CC0" w:rsidRPr="000572AB" w:rsidRDefault="00897CC0" w:rsidP="00D542E2">
            <w:pPr>
              <w:pStyle w:val="a2"/>
              <w:spacing w:after="0" w:line="240" w:lineRule="auto"/>
              <w:contextualSpacing/>
              <w:jc w:val="both"/>
              <w:rPr>
                <w:rFonts w:ascii="Times New Roman" w:hAnsi="Times New Roman"/>
                <w:sz w:val="20"/>
                <w:szCs w:val="20"/>
              </w:rPr>
            </w:pPr>
            <w:r w:rsidRPr="000572AB">
              <w:rPr>
                <w:rFonts w:ascii="Times New Roman" w:hAnsi="Times New Roman"/>
                <w:sz w:val="20"/>
                <w:szCs w:val="20"/>
              </w:rPr>
              <w:t xml:space="preserve">Витрати на заробітну плату </w:t>
            </w:r>
          </w:p>
        </w:tc>
        <w:tc>
          <w:tcPr>
            <w:tcW w:w="1982" w:type="dxa"/>
            <w:tcBorders>
              <w:top w:val="single" w:sz="4" w:space="0" w:color="auto"/>
              <w:left w:val="single" w:sz="4" w:space="0" w:color="auto"/>
              <w:bottom w:val="single" w:sz="4" w:space="0" w:color="auto"/>
              <w:right w:val="single" w:sz="4" w:space="0" w:color="auto"/>
            </w:tcBorders>
            <w:vAlign w:val="center"/>
            <w:hideMark/>
          </w:tcPr>
          <w:p w:rsidR="00897CC0" w:rsidRPr="000572AB" w:rsidRDefault="00897CC0" w:rsidP="00D542E2">
            <w:pPr>
              <w:spacing w:after="0" w:line="240" w:lineRule="auto"/>
              <w:jc w:val="right"/>
              <w:rPr>
                <w:rFonts w:ascii="Times New Roman" w:hAnsi="Times New Roman"/>
                <w:sz w:val="20"/>
                <w:szCs w:val="20"/>
              </w:rPr>
            </w:pPr>
            <w:r w:rsidRPr="000572AB">
              <w:rPr>
                <w:rFonts w:ascii="Times New Roman" w:hAnsi="Times New Roman"/>
                <w:sz w:val="20"/>
                <w:szCs w:val="20"/>
              </w:rPr>
              <w:t>394</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7CC0" w:rsidRPr="000572AB" w:rsidRDefault="00897CC0" w:rsidP="00D542E2">
            <w:pPr>
              <w:spacing w:after="0" w:line="240" w:lineRule="auto"/>
              <w:jc w:val="right"/>
              <w:rPr>
                <w:rFonts w:ascii="Times New Roman" w:hAnsi="Times New Roman"/>
                <w:sz w:val="20"/>
                <w:szCs w:val="20"/>
              </w:rPr>
            </w:pPr>
            <w:r w:rsidRPr="000572AB">
              <w:rPr>
                <w:rFonts w:ascii="Times New Roman" w:hAnsi="Times New Roman"/>
                <w:sz w:val="20"/>
                <w:szCs w:val="20"/>
              </w:rPr>
              <w:t>472</w:t>
            </w:r>
          </w:p>
        </w:tc>
      </w:tr>
      <w:tr w:rsidR="00897CC0" w:rsidRPr="000572AB" w:rsidTr="00AB26D5">
        <w:trPr>
          <w:trHeight w:val="255"/>
        </w:trPr>
        <w:tc>
          <w:tcPr>
            <w:tcW w:w="5263" w:type="dxa"/>
            <w:tcBorders>
              <w:top w:val="single" w:sz="4" w:space="0" w:color="auto"/>
              <w:left w:val="single" w:sz="4" w:space="0" w:color="auto"/>
              <w:bottom w:val="single" w:sz="4" w:space="0" w:color="auto"/>
              <w:right w:val="single" w:sz="4" w:space="0" w:color="auto"/>
            </w:tcBorders>
            <w:noWrap/>
            <w:hideMark/>
          </w:tcPr>
          <w:p w:rsidR="00897CC0" w:rsidRPr="000572AB" w:rsidRDefault="00897CC0" w:rsidP="00D542E2">
            <w:pPr>
              <w:pStyle w:val="a2"/>
              <w:spacing w:after="0" w:line="240" w:lineRule="auto"/>
              <w:contextualSpacing/>
              <w:jc w:val="both"/>
              <w:rPr>
                <w:rFonts w:ascii="Times New Roman" w:hAnsi="Times New Roman"/>
                <w:sz w:val="20"/>
                <w:szCs w:val="20"/>
              </w:rPr>
            </w:pPr>
            <w:r w:rsidRPr="000572AB">
              <w:rPr>
                <w:rFonts w:ascii="Times New Roman" w:hAnsi="Times New Roman"/>
                <w:sz w:val="20"/>
                <w:szCs w:val="20"/>
              </w:rPr>
              <w:t xml:space="preserve">Витрати на соціальні заходи </w:t>
            </w:r>
          </w:p>
        </w:tc>
        <w:tc>
          <w:tcPr>
            <w:tcW w:w="1982" w:type="dxa"/>
            <w:tcBorders>
              <w:top w:val="single" w:sz="4" w:space="0" w:color="auto"/>
              <w:left w:val="single" w:sz="4" w:space="0" w:color="auto"/>
              <w:bottom w:val="single" w:sz="4" w:space="0" w:color="auto"/>
              <w:right w:val="single" w:sz="4" w:space="0" w:color="auto"/>
            </w:tcBorders>
            <w:vAlign w:val="center"/>
            <w:hideMark/>
          </w:tcPr>
          <w:p w:rsidR="00897CC0" w:rsidRPr="000572AB" w:rsidRDefault="00897CC0" w:rsidP="00D542E2">
            <w:pPr>
              <w:spacing w:after="0" w:line="240" w:lineRule="auto"/>
              <w:jc w:val="right"/>
              <w:rPr>
                <w:rFonts w:ascii="Times New Roman" w:hAnsi="Times New Roman"/>
                <w:sz w:val="20"/>
                <w:szCs w:val="20"/>
              </w:rPr>
            </w:pPr>
            <w:r w:rsidRPr="000572AB">
              <w:rPr>
                <w:rFonts w:ascii="Times New Roman" w:hAnsi="Times New Roman"/>
                <w:sz w:val="20"/>
                <w:szCs w:val="20"/>
              </w:rPr>
              <w:t>79</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7CC0" w:rsidRPr="000572AB" w:rsidRDefault="00897CC0" w:rsidP="00D542E2">
            <w:pPr>
              <w:spacing w:after="0" w:line="240" w:lineRule="auto"/>
              <w:jc w:val="right"/>
              <w:rPr>
                <w:rFonts w:ascii="Times New Roman" w:hAnsi="Times New Roman"/>
                <w:sz w:val="20"/>
                <w:szCs w:val="20"/>
              </w:rPr>
            </w:pPr>
            <w:r w:rsidRPr="000572AB">
              <w:rPr>
                <w:rFonts w:ascii="Times New Roman" w:hAnsi="Times New Roman"/>
                <w:sz w:val="20"/>
                <w:szCs w:val="20"/>
                <w:lang w:eastAsia="ru-RU"/>
              </w:rPr>
              <w:t>98</w:t>
            </w:r>
          </w:p>
        </w:tc>
      </w:tr>
      <w:tr w:rsidR="00897CC0" w:rsidRPr="000572AB" w:rsidTr="00AB26D5">
        <w:trPr>
          <w:trHeight w:val="255"/>
        </w:trPr>
        <w:tc>
          <w:tcPr>
            <w:tcW w:w="5263" w:type="dxa"/>
            <w:tcBorders>
              <w:top w:val="single" w:sz="4" w:space="0" w:color="auto"/>
              <w:left w:val="single" w:sz="4" w:space="0" w:color="auto"/>
              <w:bottom w:val="single" w:sz="4" w:space="0" w:color="auto"/>
              <w:right w:val="single" w:sz="4" w:space="0" w:color="auto"/>
            </w:tcBorders>
            <w:noWrap/>
            <w:hideMark/>
          </w:tcPr>
          <w:p w:rsidR="00897CC0" w:rsidRPr="000572AB" w:rsidRDefault="00897CC0" w:rsidP="00D542E2">
            <w:pPr>
              <w:pStyle w:val="a2"/>
              <w:spacing w:after="0" w:line="240" w:lineRule="auto"/>
              <w:contextualSpacing/>
              <w:jc w:val="both"/>
              <w:rPr>
                <w:rFonts w:ascii="Times New Roman" w:hAnsi="Times New Roman"/>
                <w:sz w:val="20"/>
                <w:szCs w:val="20"/>
              </w:rPr>
            </w:pPr>
            <w:r w:rsidRPr="000572AB">
              <w:rPr>
                <w:rFonts w:ascii="Times New Roman" w:hAnsi="Times New Roman"/>
                <w:sz w:val="20"/>
                <w:szCs w:val="20"/>
              </w:rPr>
              <w:t xml:space="preserve">Амортизація основних засобів </w:t>
            </w:r>
          </w:p>
        </w:tc>
        <w:tc>
          <w:tcPr>
            <w:tcW w:w="1982" w:type="dxa"/>
            <w:tcBorders>
              <w:top w:val="single" w:sz="4" w:space="0" w:color="auto"/>
              <w:left w:val="single" w:sz="4" w:space="0" w:color="auto"/>
              <w:bottom w:val="single" w:sz="4" w:space="0" w:color="auto"/>
              <w:right w:val="single" w:sz="4" w:space="0" w:color="auto"/>
            </w:tcBorders>
            <w:vAlign w:val="center"/>
            <w:hideMark/>
          </w:tcPr>
          <w:p w:rsidR="00897CC0" w:rsidRPr="000572AB" w:rsidRDefault="00897CC0" w:rsidP="00D542E2">
            <w:pPr>
              <w:spacing w:after="0" w:line="240" w:lineRule="auto"/>
              <w:jc w:val="right"/>
              <w:rPr>
                <w:rFonts w:ascii="Times New Roman" w:hAnsi="Times New Roman"/>
                <w:sz w:val="20"/>
                <w:szCs w:val="20"/>
              </w:rPr>
            </w:pPr>
            <w:r w:rsidRPr="000572AB">
              <w:rPr>
                <w:rFonts w:ascii="Times New Roman" w:hAnsi="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7CC0" w:rsidRPr="000572AB" w:rsidRDefault="00897CC0" w:rsidP="00D542E2">
            <w:pPr>
              <w:spacing w:after="0" w:line="240" w:lineRule="auto"/>
              <w:jc w:val="right"/>
              <w:rPr>
                <w:rFonts w:ascii="Times New Roman" w:hAnsi="Times New Roman"/>
                <w:sz w:val="20"/>
                <w:szCs w:val="20"/>
              </w:rPr>
            </w:pPr>
            <w:r w:rsidRPr="000572AB">
              <w:rPr>
                <w:rFonts w:ascii="Times New Roman" w:hAnsi="Times New Roman"/>
                <w:sz w:val="20"/>
                <w:szCs w:val="20"/>
                <w:lang w:eastAsia="ru-RU"/>
              </w:rPr>
              <w:t>2</w:t>
            </w:r>
          </w:p>
        </w:tc>
      </w:tr>
      <w:tr w:rsidR="00897CC0" w:rsidRPr="000572AB" w:rsidTr="00AB26D5">
        <w:trPr>
          <w:trHeight w:val="331"/>
        </w:trPr>
        <w:tc>
          <w:tcPr>
            <w:tcW w:w="5263" w:type="dxa"/>
            <w:tcBorders>
              <w:top w:val="single" w:sz="4" w:space="0" w:color="auto"/>
              <w:left w:val="single" w:sz="4" w:space="0" w:color="auto"/>
              <w:bottom w:val="single" w:sz="4" w:space="0" w:color="auto"/>
              <w:right w:val="single" w:sz="4" w:space="0" w:color="auto"/>
            </w:tcBorders>
            <w:noWrap/>
            <w:hideMark/>
          </w:tcPr>
          <w:p w:rsidR="00897CC0" w:rsidRPr="000572AB" w:rsidRDefault="00897CC0" w:rsidP="00AB26D5">
            <w:pPr>
              <w:spacing w:after="0" w:line="240" w:lineRule="auto"/>
              <w:rPr>
                <w:rFonts w:ascii="Times New Roman" w:hAnsi="Times New Roman"/>
                <w:sz w:val="20"/>
                <w:szCs w:val="20"/>
              </w:rPr>
            </w:pPr>
            <w:r w:rsidRPr="000572AB">
              <w:rPr>
                <w:rFonts w:ascii="Times New Roman" w:hAnsi="Times New Roman"/>
                <w:sz w:val="20"/>
                <w:szCs w:val="20"/>
              </w:rPr>
              <w:t xml:space="preserve">Інші витрати </w:t>
            </w:r>
          </w:p>
        </w:tc>
        <w:tc>
          <w:tcPr>
            <w:tcW w:w="1982" w:type="dxa"/>
            <w:tcBorders>
              <w:top w:val="single" w:sz="4" w:space="0" w:color="auto"/>
              <w:left w:val="single" w:sz="4" w:space="0" w:color="auto"/>
              <w:bottom w:val="single" w:sz="4" w:space="0" w:color="auto"/>
              <w:right w:val="single" w:sz="4" w:space="0" w:color="auto"/>
            </w:tcBorders>
            <w:vAlign w:val="center"/>
            <w:hideMark/>
          </w:tcPr>
          <w:p w:rsidR="00897CC0" w:rsidRPr="000572AB" w:rsidRDefault="00D70EDB" w:rsidP="00AB26D5">
            <w:pPr>
              <w:spacing w:after="0" w:line="240" w:lineRule="auto"/>
              <w:jc w:val="right"/>
              <w:rPr>
                <w:rFonts w:ascii="Times New Roman" w:hAnsi="Times New Roman"/>
                <w:sz w:val="20"/>
                <w:szCs w:val="20"/>
              </w:rPr>
            </w:pPr>
            <w:r w:rsidRPr="000572AB">
              <w:rPr>
                <w:rFonts w:ascii="Times New Roman" w:hAnsi="Times New Roman"/>
                <w:sz w:val="20"/>
                <w:szCs w:val="20"/>
              </w:rPr>
              <w:t>196</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7CC0" w:rsidRPr="000572AB" w:rsidRDefault="00897CC0" w:rsidP="00AB26D5">
            <w:pPr>
              <w:spacing w:after="0" w:line="240" w:lineRule="auto"/>
              <w:jc w:val="right"/>
              <w:rPr>
                <w:rFonts w:ascii="Times New Roman" w:hAnsi="Times New Roman"/>
                <w:sz w:val="20"/>
                <w:szCs w:val="20"/>
              </w:rPr>
            </w:pPr>
            <w:r w:rsidRPr="000572AB">
              <w:rPr>
                <w:rFonts w:ascii="Times New Roman" w:hAnsi="Times New Roman"/>
                <w:sz w:val="20"/>
                <w:szCs w:val="20"/>
                <w:lang w:eastAsia="ru-RU"/>
              </w:rPr>
              <w:t>293</w:t>
            </w:r>
          </w:p>
        </w:tc>
      </w:tr>
      <w:tr w:rsidR="00897CC0" w:rsidRPr="000572AB" w:rsidTr="00AB26D5">
        <w:trPr>
          <w:trHeight w:val="255"/>
        </w:trPr>
        <w:tc>
          <w:tcPr>
            <w:tcW w:w="5263" w:type="dxa"/>
            <w:tcBorders>
              <w:top w:val="single" w:sz="4" w:space="0" w:color="auto"/>
              <w:left w:val="single" w:sz="4" w:space="0" w:color="auto"/>
              <w:bottom w:val="single" w:sz="4" w:space="0" w:color="auto"/>
              <w:right w:val="single" w:sz="4" w:space="0" w:color="auto"/>
            </w:tcBorders>
            <w:noWrap/>
            <w:vAlign w:val="bottom"/>
            <w:hideMark/>
          </w:tcPr>
          <w:p w:rsidR="00897CC0" w:rsidRPr="000572AB" w:rsidRDefault="00897CC0" w:rsidP="00D542E2">
            <w:pPr>
              <w:spacing w:after="0" w:line="240" w:lineRule="auto"/>
              <w:rPr>
                <w:rFonts w:ascii="Times New Roman" w:hAnsi="Times New Roman"/>
                <w:b/>
                <w:bCs/>
                <w:sz w:val="20"/>
                <w:szCs w:val="20"/>
              </w:rPr>
            </w:pPr>
            <w:r w:rsidRPr="000572AB">
              <w:rPr>
                <w:rFonts w:ascii="Times New Roman" w:hAnsi="Times New Roman"/>
                <w:b/>
                <w:bCs/>
                <w:sz w:val="20"/>
                <w:szCs w:val="20"/>
              </w:rPr>
              <w:t>Всього</w:t>
            </w:r>
          </w:p>
        </w:tc>
        <w:tc>
          <w:tcPr>
            <w:tcW w:w="1982" w:type="dxa"/>
            <w:tcBorders>
              <w:top w:val="single" w:sz="4" w:space="0" w:color="auto"/>
              <w:left w:val="single" w:sz="4" w:space="0" w:color="auto"/>
              <w:bottom w:val="single" w:sz="4" w:space="0" w:color="auto"/>
              <w:right w:val="single" w:sz="4" w:space="0" w:color="auto"/>
            </w:tcBorders>
            <w:hideMark/>
          </w:tcPr>
          <w:p w:rsidR="00897CC0" w:rsidRPr="000572AB" w:rsidRDefault="00897CC0" w:rsidP="00D542E2">
            <w:pPr>
              <w:spacing w:after="0" w:line="240" w:lineRule="auto"/>
              <w:jc w:val="right"/>
              <w:rPr>
                <w:rFonts w:ascii="Times New Roman" w:hAnsi="Times New Roman"/>
                <w:b/>
                <w:bCs/>
                <w:sz w:val="20"/>
                <w:szCs w:val="20"/>
              </w:rPr>
            </w:pPr>
            <w:r w:rsidRPr="000572AB">
              <w:rPr>
                <w:rFonts w:ascii="Times New Roman" w:hAnsi="Times New Roman"/>
                <w:b/>
                <w:bCs/>
                <w:sz w:val="20"/>
                <w:szCs w:val="20"/>
              </w:rPr>
              <w:t>673</w:t>
            </w:r>
          </w:p>
        </w:tc>
        <w:tc>
          <w:tcPr>
            <w:tcW w:w="2126" w:type="dxa"/>
            <w:tcBorders>
              <w:top w:val="single" w:sz="4" w:space="0" w:color="auto"/>
              <w:left w:val="single" w:sz="4" w:space="0" w:color="auto"/>
              <w:bottom w:val="single" w:sz="4" w:space="0" w:color="auto"/>
              <w:right w:val="single" w:sz="4" w:space="0" w:color="auto"/>
            </w:tcBorders>
            <w:hideMark/>
          </w:tcPr>
          <w:p w:rsidR="00897CC0" w:rsidRPr="000572AB" w:rsidRDefault="00D70EDB" w:rsidP="00D542E2">
            <w:pPr>
              <w:spacing w:after="0" w:line="240" w:lineRule="auto"/>
              <w:jc w:val="right"/>
              <w:rPr>
                <w:rFonts w:ascii="Times New Roman" w:hAnsi="Times New Roman"/>
                <w:b/>
                <w:bCs/>
                <w:sz w:val="20"/>
                <w:szCs w:val="20"/>
              </w:rPr>
            </w:pPr>
            <w:r w:rsidRPr="000572AB">
              <w:rPr>
                <w:rFonts w:ascii="Times New Roman" w:hAnsi="Times New Roman"/>
                <w:b/>
                <w:bCs/>
                <w:sz w:val="20"/>
                <w:szCs w:val="20"/>
              </w:rPr>
              <w:t>866</w:t>
            </w:r>
          </w:p>
        </w:tc>
      </w:tr>
    </w:tbl>
    <w:p w:rsidR="00A01440" w:rsidRPr="000572AB" w:rsidRDefault="00A01440" w:rsidP="00D542E2">
      <w:pPr>
        <w:pStyle w:val="a2"/>
        <w:spacing w:after="0" w:line="240" w:lineRule="auto"/>
        <w:ind w:left="1485"/>
        <w:contextualSpacing/>
        <w:jc w:val="both"/>
        <w:rPr>
          <w:rFonts w:ascii="Times New Roman" w:hAnsi="Times New Roman"/>
          <w:b/>
          <w:sz w:val="20"/>
          <w:szCs w:val="20"/>
        </w:rPr>
      </w:pPr>
    </w:p>
    <w:p w:rsidR="00F33EEF" w:rsidRPr="000572AB" w:rsidRDefault="000B4EFE" w:rsidP="00D542E2">
      <w:pPr>
        <w:pStyle w:val="a2"/>
        <w:spacing w:after="0" w:line="240" w:lineRule="auto"/>
        <w:contextualSpacing/>
        <w:jc w:val="both"/>
        <w:rPr>
          <w:rFonts w:ascii="Times New Roman" w:hAnsi="Times New Roman"/>
          <w:sz w:val="20"/>
          <w:szCs w:val="20"/>
        </w:rPr>
      </w:pPr>
      <w:r w:rsidRPr="000572AB">
        <w:rPr>
          <w:rFonts w:ascii="Times New Roman" w:hAnsi="Times New Roman"/>
          <w:b/>
          <w:sz w:val="20"/>
          <w:szCs w:val="20"/>
        </w:rPr>
        <w:lastRenderedPageBreak/>
        <w:t>Інші операційні витрати</w:t>
      </w:r>
      <w:r w:rsidRPr="000572AB">
        <w:rPr>
          <w:rFonts w:ascii="Times New Roman" w:hAnsi="Times New Roman"/>
          <w:sz w:val="20"/>
          <w:szCs w:val="20"/>
        </w:rPr>
        <w:t xml:space="preserve"> за </w:t>
      </w:r>
      <w:r w:rsidR="00312F25" w:rsidRPr="000572AB">
        <w:rPr>
          <w:rFonts w:ascii="Times New Roman" w:hAnsi="Times New Roman"/>
          <w:sz w:val="20"/>
          <w:szCs w:val="20"/>
        </w:rPr>
        <w:t>201</w:t>
      </w:r>
      <w:r w:rsidR="00956B00" w:rsidRPr="000572AB">
        <w:rPr>
          <w:rFonts w:ascii="Times New Roman" w:hAnsi="Times New Roman"/>
          <w:sz w:val="20"/>
          <w:szCs w:val="20"/>
        </w:rPr>
        <w:t>7</w:t>
      </w:r>
      <w:r w:rsidR="00C547D9" w:rsidRPr="000572AB">
        <w:rPr>
          <w:rFonts w:ascii="Times New Roman" w:hAnsi="Times New Roman"/>
          <w:sz w:val="20"/>
          <w:szCs w:val="20"/>
        </w:rPr>
        <w:t xml:space="preserve"> рік </w:t>
      </w:r>
      <w:r w:rsidR="00000C35" w:rsidRPr="000572AB">
        <w:rPr>
          <w:rFonts w:ascii="Times New Roman" w:hAnsi="Times New Roman"/>
          <w:sz w:val="20"/>
          <w:szCs w:val="20"/>
        </w:rPr>
        <w:t>становлять 686 тис</w:t>
      </w:r>
      <w:r w:rsidR="00956B00" w:rsidRPr="000572AB">
        <w:rPr>
          <w:rFonts w:ascii="Times New Roman" w:hAnsi="Times New Roman"/>
          <w:sz w:val="20"/>
          <w:szCs w:val="20"/>
        </w:rPr>
        <w:t>.</w:t>
      </w:r>
      <w:r w:rsidR="00000C35" w:rsidRPr="000572AB">
        <w:rPr>
          <w:rFonts w:ascii="Times New Roman" w:hAnsi="Times New Roman"/>
          <w:sz w:val="20"/>
          <w:szCs w:val="20"/>
        </w:rPr>
        <w:t xml:space="preserve"> грн. та складаються з:</w:t>
      </w:r>
    </w:p>
    <w:p w:rsidR="00000C35" w:rsidRPr="000572AB" w:rsidRDefault="00000C35" w:rsidP="00D542E2">
      <w:pPr>
        <w:pStyle w:val="a2"/>
        <w:numPr>
          <w:ilvl w:val="0"/>
          <w:numId w:val="35"/>
        </w:numPr>
        <w:spacing w:after="0" w:line="240" w:lineRule="auto"/>
        <w:contextualSpacing/>
        <w:jc w:val="both"/>
        <w:rPr>
          <w:rFonts w:ascii="Times New Roman" w:hAnsi="Times New Roman"/>
          <w:sz w:val="20"/>
          <w:szCs w:val="20"/>
        </w:rPr>
      </w:pPr>
      <w:r w:rsidRPr="000572AB">
        <w:rPr>
          <w:rFonts w:ascii="Times New Roman" w:hAnsi="Times New Roman"/>
          <w:sz w:val="20"/>
          <w:szCs w:val="20"/>
        </w:rPr>
        <w:t>штрафи виплачені 180 тис. грн.;</w:t>
      </w:r>
    </w:p>
    <w:p w:rsidR="00000C35" w:rsidRPr="000572AB" w:rsidRDefault="00000C35" w:rsidP="00D542E2">
      <w:pPr>
        <w:pStyle w:val="a2"/>
        <w:numPr>
          <w:ilvl w:val="0"/>
          <w:numId w:val="35"/>
        </w:numPr>
        <w:spacing w:after="0" w:line="240" w:lineRule="auto"/>
        <w:contextualSpacing/>
        <w:jc w:val="both"/>
        <w:rPr>
          <w:rFonts w:ascii="Times New Roman" w:hAnsi="Times New Roman"/>
          <w:sz w:val="20"/>
          <w:szCs w:val="20"/>
        </w:rPr>
      </w:pPr>
      <w:r w:rsidRPr="000572AB">
        <w:rPr>
          <w:rFonts w:ascii="Times New Roman" w:hAnsi="Times New Roman"/>
          <w:sz w:val="20"/>
          <w:szCs w:val="20"/>
        </w:rPr>
        <w:t xml:space="preserve">витрати на створення резерву під сумнівні борги (знецінення) 506 тис. грн </w:t>
      </w:r>
      <w:r w:rsidR="00D70EDB" w:rsidRPr="000572AB">
        <w:rPr>
          <w:rFonts w:ascii="Times New Roman" w:hAnsi="Times New Roman"/>
          <w:sz w:val="20"/>
          <w:szCs w:val="20"/>
        </w:rPr>
        <w:t>.</w:t>
      </w:r>
    </w:p>
    <w:p w:rsidR="00D70EDB" w:rsidRPr="000572AB" w:rsidRDefault="00D70EDB" w:rsidP="00D542E2">
      <w:pPr>
        <w:pStyle w:val="33"/>
        <w:spacing w:after="0"/>
        <w:ind w:left="0"/>
        <w:jc w:val="both"/>
        <w:rPr>
          <w:sz w:val="20"/>
          <w:szCs w:val="20"/>
        </w:rPr>
      </w:pPr>
      <w:r w:rsidRPr="000572AB">
        <w:rPr>
          <w:sz w:val="20"/>
          <w:szCs w:val="20"/>
        </w:rPr>
        <w:t>Склад інших операційних витрат за 2016 - 2017 роки:</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3"/>
        <w:gridCol w:w="1982"/>
        <w:gridCol w:w="2126"/>
      </w:tblGrid>
      <w:tr w:rsidR="00D70EDB" w:rsidRPr="000572AB" w:rsidTr="00AB26D5">
        <w:trPr>
          <w:trHeight w:val="399"/>
          <w:tblHeader/>
        </w:trPr>
        <w:tc>
          <w:tcPr>
            <w:tcW w:w="5263" w:type="dxa"/>
            <w:tcBorders>
              <w:top w:val="single" w:sz="4" w:space="0" w:color="auto"/>
              <w:left w:val="single" w:sz="4" w:space="0" w:color="auto"/>
              <w:bottom w:val="single" w:sz="4" w:space="0" w:color="auto"/>
              <w:right w:val="single" w:sz="4" w:space="0" w:color="auto"/>
            </w:tcBorders>
            <w:vAlign w:val="center"/>
            <w:hideMark/>
          </w:tcPr>
          <w:p w:rsidR="00D70EDB" w:rsidRPr="000572AB" w:rsidRDefault="00D70EDB" w:rsidP="00D542E2">
            <w:pPr>
              <w:pStyle w:val="a2"/>
              <w:spacing w:after="0" w:line="240" w:lineRule="auto"/>
              <w:contextualSpacing/>
              <w:rPr>
                <w:rFonts w:ascii="Times New Roman" w:hAnsi="Times New Roman"/>
                <w:sz w:val="20"/>
                <w:szCs w:val="20"/>
              </w:rPr>
            </w:pPr>
            <w:r w:rsidRPr="000572AB">
              <w:rPr>
                <w:rFonts w:ascii="Times New Roman" w:hAnsi="Times New Roman"/>
                <w:b/>
                <w:bCs/>
                <w:sz w:val="20"/>
                <w:szCs w:val="20"/>
              </w:rPr>
              <w:t>Вид</w:t>
            </w:r>
          </w:p>
        </w:tc>
        <w:tc>
          <w:tcPr>
            <w:tcW w:w="1982" w:type="dxa"/>
            <w:tcBorders>
              <w:top w:val="single" w:sz="4" w:space="0" w:color="auto"/>
              <w:left w:val="single" w:sz="4" w:space="0" w:color="auto"/>
              <w:bottom w:val="single" w:sz="4" w:space="0" w:color="auto"/>
              <w:right w:val="single" w:sz="4" w:space="0" w:color="auto"/>
            </w:tcBorders>
            <w:vAlign w:val="center"/>
            <w:hideMark/>
          </w:tcPr>
          <w:p w:rsidR="00D70EDB" w:rsidRPr="000572AB" w:rsidRDefault="00D70EDB" w:rsidP="00D542E2">
            <w:pPr>
              <w:spacing w:after="0" w:line="240" w:lineRule="auto"/>
              <w:jc w:val="center"/>
              <w:rPr>
                <w:rFonts w:ascii="Times New Roman" w:hAnsi="Times New Roman"/>
                <w:b/>
                <w:sz w:val="20"/>
                <w:szCs w:val="20"/>
              </w:rPr>
            </w:pPr>
            <w:r w:rsidRPr="000572AB">
              <w:rPr>
                <w:rFonts w:ascii="Times New Roman" w:hAnsi="Times New Roman"/>
                <w:b/>
                <w:sz w:val="20"/>
                <w:szCs w:val="20"/>
              </w:rPr>
              <w:t>2016 рік, тис. грн.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0EDB" w:rsidRPr="000572AB" w:rsidRDefault="00D70EDB" w:rsidP="00D542E2">
            <w:pPr>
              <w:spacing w:after="0" w:line="240" w:lineRule="auto"/>
              <w:jc w:val="center"/>
              <w:rPr>
                <w:rFonts w:ascii="Times New Roman" w:hAnsi="Times New Roman"/>
                <w:b/>
                <w:sz w:val="20"/>
                <w:szCs w:val="20"/>
              </w:rPr>
            </w:pPr>
            <w:r w:rsidRPr="000572AB">
              <w:rPr>
                <w:rFonts w:ascii="Times New Roman" w:hAnsi="Times New Roman"/>
                <w:b/>
                <w:sz w:val="20"/>
                <w:szCs w:val="20"/>
              </w:rPr>
              <w:t>2017 рік, тис. грн.</w:t>
            </w:r>
          </w:p>
        </w:tc>
      </w:tr>
      <w:tr w:rsidR="00D70EDB" w:rsidRPr="000572AB" w:rsidTr="00AB26D5">
        <w:trPr>
          <w:trHeight w:val="257"/>
          <w:tblHeader/>
        </w:trPr>
        <w:tc>
          <w:tcPr>
            <w:tcW w:w="5263" w:type="dxa"/>
            <w:tcBorders>
              <w:top w:val="single" w:sz="4" w:space="0" w:color="auto"/>
              <w:left w:val="single" w:sz="4" w:space="0" w:color="auto"/>
              <w:bottom w:val="single" w:sz="4" w:space="0" w:color="auto"/>
              <w:right w:val="single" w:sz="4" w:space="0" w:color="auto"/>
            </w:tcBorders>
            <w:hideMark/>
          </w:tcPr>
          <w:p w:rsidR="00D70EDB" w:rsidRPr="000572AB" w:rsidRDefault="00D70EDB" w:rsidP="00D542E2">
            <w:pPr>
              <w:pStyle w:val="a2"/>
              <w:spacing w:after="0" w:line="240" w:lineRule="auto"/>
              <w:contextualSpacing/>
              <w:jc w:val="both"/>
              <w:rPr>
                <w:rFonts w:ascii="Times New Roman" w:hAnsi="Times New Roman"/>
                <w:sz w:val="20"/>
                <w:szCs w:val="20"/>
              </w:rPr>
            </w:pPr>
            <w:r w:rsidRPr="000572AB">
              <w:rPr>
                <w:rFonts w:ascii="Times New Roman" w:hAnsi="Times New Roman"/>
                <w:sz w:val="20"/>
                <w:szCs w:val="20"/>
              </w:rPr>
              <w:t>Штрафи виплачені</w:t>
            </w:r>
          </w:p>
        </w:tc>
        <w:tc>
          <w:tcPr>
            <w:tcW w:w="1982" w:type="dxa"/>
            <w:tcBorders>
              <w:top w:val="single" w:sz="4" w:space="0" w:color="auto"/>
              <w:left w:val="single" w:sz="4" w:space="0" w:color="auto"/>
              <w:bottom w:val="single" w:sz="4" w:space="0" w:color="auto"/>
              <w:right w:val="single" w:sz="4" w:space="0" w:color="auto"/>
            </w:tcBorders>
            <w:vAlign w:val="center"/>
            <w:hideMark/>
          </w:tcPr>
          <w:p w:rsidR="00D70EDB" w:rsidRPr="000572AB" w:rsidRDefault="00D70EDB" w:rsidP="00D542E2">
            <w:pPr>
              <w:spacing w:after="0" w:line="240" w:lineRule="auto"/>
              <w:jc w:val="right"/>
              <w:rPr>
                <w:rFonts w:ascii="Times New Roman" w:hAnsi="Times New Roman"/>
                <w:sz w:val="20"/>
                <w:szCs w:val="20"/>
              </w:rPr>
            </w:pPr>
            <w:r w:rsidRPr="000572AB">
              <w:rPr>
                <w:rFonts w:ascii="Times New Roman" w:hAnsi="Times New Roman"/>
                <w:sz w:val="20"/>
                <w:szCs w:val="20"/>
              </w:rPr>
              <w:t>122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0EDB" w:rsidRPr="000572AB" w:rsidRDefault="00D70EDB" w:rsidP="00D542E2">
            <w:pPr>
              <w:spacing w:after="0" w:line="240" w:lineRule="auto"/>
              <w:jc w:val="right"/>
              <w:rPr>
                <w:rFonts w:ascii="Times New Roman" w:hAnsi="Times New Roman"/>
                <w:sz w:val="20"/>
                <w:szCs w:val="20"/>
              </w:rPr>
            </w:pPr>
            <w:r w:rsidRPr="000572AB">
              <w:rPr>
                <w:rFonts w:ascii="Times New Roman" w:hAnsi="Times New Roman"/>
                <w:sz w:val="20"/>
                <w:szCs w:val="20"/>
              </w:rPr>
              <w:t>180</w:t>
            </w:r>
          </w:p>
        </w:tc>
      </w:tr>
      <w:tr w:rsidR="00D70EDB" w:rsidRPr="000572AB" w:rsidTr="00AB26D5">
        <w:trPr>
          <w:trHeight w:val="255"/>
        </w:trPr>
        <w:tc>
          <w:tcPr>
            <w:tcW w:w="5263" w:type="dxa"/>
            <w:tcBorders>
              <w:top w:val="single" w:sz="4" w:space="0" w:color="auto"/>
              <w:left w:val="single" w:sz="4" w:space="0" w:color="auto"/>
              <w:bottom w:val="single" w:sz="4" w:space="0" w:color="auto"/>
              <w:right w:val="single" w:sz="4" w:space="0" w:color="auto"/>
            </w:tcBorders>
            <w:noWrap/>
            <w:hideMark/>
          </w:tcPr>
          <w:p w:rsidR="00D70EDB" w:rsidRPr="000572AB" w:rsidRDefault="00AB26D5" w:rsidP="00AB26D5">
            <w:pPr>
              <w:pStyle w:val="a2"/>
              <w:spacing w:after="0" w:line="240" w:lineRule="auto"/>
              <w:contextualSpacing/>
              <w:jc w:val="both"/>
              <w:rPr>
                <w:rFonts w:ascii="Times New Roman" w:hAnsi="Times New Roman"/>
                <w:sz w:val="20"/>
                <w:szCs w:val="20"/>
              </w:rPr>
            </w:pPr>
            <w:r w:rsidRPr="000572AB">
              <w:rPr>
                <w:rFonts w:ascii="Times New Roman" w:hAnsi="Times New Roman"/>
                <w:sz w:val="20"/>
                <w:szCs w:val="20"/>
              </w:rPr>
              <w:t>В</w:t>
            </w:r>
            <w:r w:rsidR="00D70EDB" w:rsidRPr="000572AB">
              <w:rPr>
                <w:rFonts w:ascii="Times New Roman" w:hAnsi="Times New Roman"/>
                <w:sz w:val="20"/>
                <w:szCs w:val="20"/>
              </w:rPr>
              <w:t>итрати на створення резерву під сумнівні борги (знецінення)</w:t>
            </w:r>
          </w:p>
        </w:tc>
        <w:tc>
          <w:tcPr>
            <w:tcW w:w="1982" w:type="dxa"/>
            <w:tcBorders>
              <w:top w:val="single" w:sz="4" w:space="0" w:color="auto"/>
              <w:left w:val="single" w:sz="4" w:space="0" w:color="auto"/>
              <w:bottom w:val="single" w:sz="4" w:space="0" w:color="auto"/>
              <w:right w:val="single" w:sz="4" w:space="0" w:color="auto"/>
            </w:tcBorders>
            <w:vAlign w:val="center"/>
            <w:hideMark/>
          </w:tcPr>
          <w:p w:rsidR="00D70EDB" w:rsidRPr="000572AB" w:rsidRDefault="00D70EDB" w:rsidP="00D542E2">
            <w:pPr>
              <w:spacing w:after="0" w:line="240" w:lineRule="auto"/>
              <w:jc w:val="right"/>
              <w:rPr>
                <w:rFonts w:ascii="Times New Roman" w:hAnsi="Times New Roman"/>
                <w:sz w:val="20"/>
                <w:szCs w:val="20"/>
              </w:rPr>
            </w:pPr>
            <w:r w:rsidRPr="000572AB">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0EDB" w:rsidRPr="000572AB" w:rsidRDefault="00AB26D5" w:rsidP="00D542E2">
            <w:pPr>
              <w:spacing w:after="0" w:line="240" w:lineRule="auto"/>
              <w:jc w:val="right"/>
              <w:rPr>
                <w:rFonts w:ascii="Times New Roman" w:hAnsi="Times New Roman"/>
                <w:sz w:val="20"/>
                <w:szCs w:val="20"/>
              </w:rPr>
            </w:pPr>
            <w:r w:rsidRPr="000572AB">
              <w:rPr>
                <w:rFonts w:ascii="Times New Roman" w:hAnsi="Times New Roman"/>
                <w:sz w:val="20"/>
                <w:szCs w:val="20"/>
              </w:rPr>
              <w:t>(</w:t>
            </w:r>
            <w:r w:rsidR="00D70EDB" w:rsidRPr="000572AB">
              <w:rPr>
                <w:rFonts w:ascii="Times New Roman" w:hAnsi="Times New Roman"/>
                <w:sz w:val="20"/>
                <w:szCs w:val="20"/>
              </w:rPr>
              <w:t>506</w:t>
            </w:r>
            <w:r w:rsidRPr="000572AB">
              <w:rPr>
                <w:rFonts w:ascii="Times New Roman" w:hAnsi="Times New Roman"/>
                <w:sz w:val="20"/>
                <w:szCs w:val="20"/>
              </w:rPr>
              <w:t>)</w:t>
            </w:r>
          </w:p>
        </w:tc>
      </w:tr>
      <w:tr w:rsidR="00D70EDB" w:rsidRPr="000572AB" w:rsidTr="00AB26D5">
        <w:trPr>
          <w:trHeight w:val="255"/>
        </w:trPr>
        <w:tc>
          <w:tcPr>
            <w:tcW w:w="5263" w:type="dxa"/>
            <w:tcBorders>
              <w:top w:val="single" w:sz="4" w:space="0" w:color="auto"/>
              <w:left w:val="single" w:sz="4" w:space="0" w:color="auto"/>
              <w:bottom w:val="single" w:sz="4" w:space="0" w:color="auto"/>
              <w:right w:val="single" w:sz="4" w:space="0" w:color="auto"/>
            </w:tcBorders>
            <w:noWrap/>
            <w:vAlign w:val="bottom"/>
            <w:hideMark/>
          </w:tcPr>
          <w:p w:rsidR="00D70EDB" w:rsidRPr="000572AB" w:rsidRDefault="00D70EDB" w:rsidP="00D542E2">
            <w:pPr>
              <w:spacing w:after="0" w:line="240" w:lineRule="auto"/>
              <w:rPr>
                <w:rFonts w:ascii="Times New Roman" w:hAnsi="Times New Roman"/>
                <w:b/>
                <w:bCs/>
                <w:sz w:val="20"/>
                <w:szCs w:val="20"/>
              </w:rPr>
            </w:pPr>
            <w:r w:rsidRPr="000572AB">
              <w:rPr>
                <w:rFonts w:ascii="Times New Roman" w:hAnsi="Times New Roman"/>
                <w:b/>
                <w:bCs/>
                <w:sz w:val="20"/>
                <w:szCs w:val="20"/>
              </w:rPr>
              <w:t>Всього</w:t>
            </w:r>
          </w:p>
        </w:tc>
        <w:tc>
          <w:tcPr>
            <w:tcW w:w="1982" w:type="dxa"/>
            <w:tcBorders>
              <w:top w:val="single" w:sz="4" w:space="0" w:color="auto"/>
              <w:left w:val="single" w:sz="4" w:space="0" w:color="auto"/>
              <w:bottom w:val="single" w:sz="4" w:space="0" w:color="auto"/>
              <w:right w:val="single" w:sz="4" w:space="0" w:color="auto"/>
            </w:tcBorders>
            <w:hideMark/>
          </w:tcPr>
          <w:p w:rsidR="00D70EDB" w:rsidRPr="000572AB" w:rsidRDefault="00D70EDB" w:rsidP="00D542E2">
            <w:pPr>
              <w:spacing w:after="0" w:line="240" w:lineRule="auto"/>
              <w:jc w:val="right"/>
              <w:rPr>
                <w:rFonts w:ascii="Times New Roman" w:hAnsi="Times New Roman"/>
                <w:b/>
                <w:bCs/>
                <w:sz w:val="20"/>
                <w:szCs w:val="20"/>
              </w:rPr>
            </w:pPr>
            <w:r w:rsidRPr="000572AB">
              <w:rPr>
                <w:rFonts w:ascii="Times New Roman" w:hAnsi="Times New Roman"/>
                <w:b/>
                <w:bCs/>
                <w:sz w:val="20"/>
                <w:szCs w:val="20"/>
              </w:rPr>
              <w:t>673</w:t>
            </w:r>
          </w:p>
        </w:tc>
        <w:tc>
          <w:tcPr>
            <w:tcW w:w="2126" w:type="dxa"/>
            <w:tcBorders>
              <w:top w:val="single" w:sz="4" w:space="0" w:color="auto"/>
              <w:left w:val="single" w:sz="4" w:space="0" w:color="auto"/>
              <w:bottom w:val="single" w:sz="4" w:space="0" w:color="auto"/>
              <w:right w:val="single" w:sz="4" w:space="0" w:color="auto"/>
            </w:tcBorders>
            <w:hideMark/>
          </w:tcPr>
          <w:p w:rsidR="00D70EDB" w:rsidRPr="000572AB" w:rsidRDefault="00D70EDB" w:rsidP="00D542E2">
            <w:pPr>
              <w:spacing w:after="0" w:line="240" w:lineRule="auto"/>
              <w:jc w:val="right"/>
              <w:rPr>
                <w:rFonts w:ascii="Times New Roman" w:hAnsi="Times New Roman"/>
                <w:b/>
                <w:bCs/>
                <w:sz w:val="20"/>
                <w:szCs w:val="20"/>
              </w:rPr>
            </w:pPr>
            <w:r w:rsidRPr="000572AB">
              <w:rPr>
                <w:rFonts w:ascii="Times New Roman" w:hAnsi="Times New Roman"/>
                <w:b/>
                <w:bCs/>
                <w:sz w:val="20"/>
                <w:szCs w:val="20"/>
              </w:rPr>
              <w:t>866</w:t>
            </w:r>
          </w:p>
        </w:tc>
      </w:tr>
    </w:tbl>
    <w:p w:rsidR="00D70EDB" w:rsidRPr="000572AB" w:rsidRDefault="00D70EDB" w:rsidP="00D542E2">
      <w:pPr>
        <w:pStyle w:val="a2"/>
        <w:spacing w:after="0" w:line="240" w:lineRule="auto"/>
        <w:contextualSpacing/>
        <w:jc w:val="both"/>
        <w:rPr>
          <w:rFonts w:ascii="Times New Roman" w:hAnsi="Times New Roman"/>
          <w:sz w:val="20"/>
          <w:szCs w:val="20"/>
        </w:rPr>
      </w:pPr>
    </w:p>
    <w:p w:rsidR="00D70EDB" w:rsidRPr="000572AB" w:rsidRDefault="00D70EDB" w:rsidP="00D542E2">
      <w:pPr>
        <w:pStyle w:val="a2"/>
        <w:spacing w:after="0" w:line="240" w:lineRule="auto"/>
        <w:ind w:left="1440"/>
        <w:contextualSpacing/>
        <w:jc w:val="both"/>
        <w:rPr>
          <w:rFonts w:ascii="Times New Roman" w:hAnsi="Times New Roman"/>
          <w:sz w:val="20"/>
          <w:szCs w:val="20"/>
        </w:rPr>
      </w:pPr>
    </w:p>
    <w:p w:rsidR="00A319F7" w:rsidRPr="000572AB" w:rsidRDefault="000B4EFE" w:rsidP="00D542E2">
      <w:pPr>
        <w:pStyle w:val="a2"/>
        <w:spacing w:after="0" w:line="240" w:lineRule="auto"/>
        <w:contextualSpacing/>
        <w:jc w:val="both"/>
        <w:rPr>
          <w:rFonts w:ascii="Times New Roman" w:hAnsi="Times New Roman"/>
          <w:sz w:val="20"/>
          <w:szCs w:val="20"/>
        </w:rPr>
      </w:pPr>
      <w:r w:rsidRPr="000572AB">
        <w:rPr>
          <w:rFonts w:ascii="Times New Roman" w:hAnsi="Times New Roman"/>
          <w:b/>
          <w:sz w:val="20"/>
          <w:szCs w:val="20"/>
        </w:rPr>
        <w:t>Фінансовий результат</w:t>
      </w:r>
      <w:r w:rsidRPr="000572AB">
        <w:rPr>
          <w:rFonts w:ascii="Times New Roman" w:hAnsi="Times New Roman"/>
          <w:sz w:val="20"/>
          <w:szCs w:val="20"/>
        </w:rPr>
        <w:t xml:space="preserve"> від </w:t>
      </w:r>
      <w:r w:rsidR="008157F6" w:rsidRPr="000572AB">
        <w:rPr>
          <w:rFonts w:ascii="Times New Roman" w:hAnsi="Times New Roman"/>
          <w:sz w:val="20"/>
          <w:szCs w:val="20"/>
        </w:rPr>
        <w:t>операційної</w:t>
      </w:r>
      <w:r w:rsidRPr="000572AB">
        <w:rPr>
          <w:rFonts w:ascii="Times New Roman" w:hAnsi="Times New Roman"/>
          <w:sz w:val="20"/>
          <w:szCs w:val="20"/>
        </w:rPr>
        <w:t xml:space="preserve"> діяльності</w:t>
      </w:r>
      <w:r w:rsidR="002F02BF" w:rsidRPr="000572AB">
        <w:rPr>
          <w:rFonts w:ascii="Times New Roman" w:hAnsi="Times New Roman"/>
          <w:sz w:val="20"/>
          <w:szCs w:val="20"/>
        </w:rPr>
        <w:t xml:space="preserve"> (прибуток)</w:t>
      </w:r>
      <w:r w:rsidRPr="000572AB">
        <w:rPr>
          <w:rFonts w:ascii="Times New Roman" w:hAnsi="Times New Roman"/>
          <w:sz w:val="20"/>
          <w:szCs w:val="20"/>
        </w:rPr>
        <w:t xml:space="preserve"> у </w:t>
      </w:r>
      <w:r w:rsidR="002E100E" w:rsidRPr="000572AB">
        <w:rPr>
          <w:rFonts w:ascii="Times New Roman" w:hAnsi="Times New Roman"/>
          <w:sz w:val="20"/>
          <w:szCs w:val="20"/>
        </w:rPr>
        <w:t>201</w:t>
      </w:r>
      <w:r w:rsidR="00956B00" w:rsidRPr="000572AB">
        <w:rPr>
          <w:rFonts w:ascii="Times New Roman" w:hAnsi="Times New Roman"/>
          <w:sz w:val="20"/>
          <w:szCs w:val="20"/>
        </w:rPr>
        <w:t>7</w:t>
      </w:r>
      <w:r w:rsidRPr="000572AB">
        <w:rPr>
          <w:rFonts w:ascii="Times New Roman" w:hAnsi="Times New Roman"/>
          <w:sz w:val="20"/>
          <w:szCs w:val="20"/>
        </w:rPr>
        <w:t xml:space="preserve"> році </w:t>
      </w:r>
      <w:r w:rsidR="008157F6" w:rsidRPr="000572AB">
        <w:rPr>
          <w:rFonts w:ascii="Times New Roman" w:hAnsi="Times New Roman"/>
          <w:sz w:val="20"/>
          <w:szCs w:val="20"/>
        </w:rPr>
        <w:t xml:space="preserve">становить </w:t>
      </w:r>
      <w:r w:rsidR="00000C35" w:rsidRPr="000572AB">
        <w:rPr>
          <w:rFonts w:ascii="Times New Roman" w:hAnsi="Times New Roman"/>
          <w:sz w:val="20"/>
          <w:szCs w:val="20"/>
        </w:rPr>
        <w:t>17 454</w:t>
      </w:r>
      <w:r w:rsidRPr="000572AB">
        <w:rPr>
          <w:rFonts w:ascii="Times New Roman" w:hAnsi="Times New Roman"/>
          <w:sz w:val="20"/>
          <w:szCs w:val="20"/>
        </w:rPr>
        <w:t xml:space="preserve"> тис. грн. </w:t>
      </w:r>
      <w:r w:rsidR="00D70EDB" w:rsidRPr="000572AB">
        <w:rPr>
          <w:rFonts w:ascii="Times New Roman" w:hAnsi="Times New Roman"/>
          <w:sz w:val="20"/>
          <w:szCs w:val="20"/>
        </w:rPr>
        <w:t>У 2016 році такий показник становив 22 789тис. грн..</w:t>
      </w:r>
    </w:p>
    <w:p w:rsidR="00AA7C10" w:rsidRPr="000572AB" w:rsidRDefault="00AA7C10" w:rsidP="00D542E2">
      <w:pPr>
        <w:pStyle w:val="a2"/>
        <w:spacing w:after="0" w:line="240" w:lineRule="auto"/>
        <w:contextualSpacing/>
        <w:jc w:val="both"/>
        <w:rPr>
          <w:rFonts w:ascii="Times New Roman" w:hAnsi="Times New Roman"/>
          <w:b/>
          <w:sz w:val="20"/>
          <w:szCs w:val="20"/>
        </w:rPr>
      </w:pPr>
    </w:p>
    <w:p w:rsidR="00D44175" w:rsidRPr="000572AB" w:rsidRDefault="00312F25" w:rsidP="00D542E2">
      <w:pPr>
        <w:pStyle w:val="a2"/>
        <w:spacing w:after="0" w:line="240" w:lineRule="auto"/>
        <w:contextualSpacing/>
        <w:jc w:val="both"/>
        <w:rPr>
          <w:rFonts w:ascii="Times New Roman" w:hAnsi="Times New Roman"/>
          <w:sz w:val="20"/>
          <w:szCs w:val="20"/>
        </w:rPr>
      </w:pPr>
      <w:r w:rsidRPr="000572AB">
        <w:rPr>
          <w:rFonts w:ascii="Times New Roman" w:hAnsi="Times New Roman"/>
          <w:b/>
          <w:sz w:val="20"/>
          <w:szCs w:val="20"/>
        </w:rPr>
        <w:t xml:space="preserve">Інші </w:t>
      </w:r>
      <w:r w:rsidR="00AA7C10" w:rsidRPr="000572AB">
        <w:rPr>
          <w:rFonts w:ascii="Times New Roman" w:hAnsi="Times New Roman"/>
          <w:b/>
          <w:sz w:val="20"/>
          <w:szCs w:val="20"/>
        </w:rPr>
        <w:t xml:space="preserve">фінансові </w:t>
      </w:r>
      <w:r w:rsidRPr="000572AB">
        <w:rPr>
          <w:rFonts w:ascii="Times New Roman" w:hAnsi="Times New Roman"/>
          <w:b/>
          <w:sz w:val="20"/>
          <w:szCs w:val="20"/>
        </w:rPr>
        <w:t>доходи</w:t>
      </w:r>
      <w:r w:rsidRPr="000572AB">
        <w:rPr>
          <w:rFonts w:ascii="Times New Roman" w:hAnsi="Times New Roman"/>
          <w:sz w:val="20"/>
          <w:szCs w:val="20"/>
        </w:rPr>
        <w:t xml:space="preserve"> за 201</w:t>
      </w:r>
      <w:r w:rsidR="00956B00" w:rsidRPr="000572AB">
        <w:rPr>
          <w:rFonts w:ascii="Times New Roman" w:hAnsi="Times New Roman"/>
          <w:sz w:val="20"/>
          <w:szCs w:val="20"/>
        </w:rPr>
        <w:t>7</w:t>
      </w:r>
      <w:r w:rsidRPr="000572AB">
        <w:rPr>
          <w:rFonts w:ascii="Times New Roman" w:hAnsi="Times New Roman"/>
          <w:sz w:val="20"/>
          <w:szCs w:val="20"/>
        </w:rPr>
        <w:t xml:space="preserve"> рік становлять  3</w:t>
      </w:r>
      <w:r w:rsidR="00AA7C10" w:rsidRPr="000572AB">
        <w:rPr>
          <w:rFonts w:ascii="Times New Roman" w:hAnsi="Times New Roman"/>
          <w:sz w:val="20"/>
          <w:szCs w:val="20"/>
        </w:rPr>
        <w:t xml:space="preserve"> 933</w:t>
      </w:r>
      <w:r w:rsidR="00956B00" w:rsidRPr="000572AB">
        <w:rPr>
          <w:rFonts w:ascii="Times New Roman" w:hAnsi="Times New Roman"/>
          <w:sz w:val="20"/>
          <w:szCs w:val="20"/>
        </w:rPr>
        <w:t xml:space="preserve"> </w:t>
      </w:r>
      <w:r w:rsidRPr="000572AB">
        <w:rPr>
          <w:rFonts w:ascii="Times New Roman" w:hAnsi="Times New Roman"/>
          <w:sz w:val="20"/>
          <w:szCs w:val="20"/>
        </w:rPr>
        <w:t>тис. грн.</w:t>
      </w:r>
      <w:r w:rsidR="0039303B" w:rsidRPr="000572AB">
        <w:rPr>
          <w:rFonts w:ascii="Times New Roman" w:hAnsi="Times New Roman"/>
          <w:sz w:val="20"/>
          <w:szCs w:val="20"/>
        </w:rPr>
        <w:t xml:space="preserve"> (7 537 тис. грн. у 2016 році) </w:t>
      </w:r>
      <w:r w:rsidRPr="000572AB">
        <w:rPr>
          <w:rFonts w:ascii="Times New Roman" w:hAnsi="Times New Roman"/>
          <w:sz w:val="20"/>
          <w:szCs w:val="20"/>
        </w:rPr>
        <w:t xml:space="preserve"> </w:t>
      </w:r>
      <w:r w:rsidR="00AA7C10" w:rsidRPr="000572AB">
        <w:rPr>
          <w:rFonts w:ascii="Times New Roman" w:hAnsi="Times New Roman"/>
          <w:sz w:val="20"/>
          <w:szCs w:val="20"/>
        </w:rPr>
        <w:t>та складаються з відсотків отриманих по боргових цінних паперах.</w:t>
      </w:r>
    </w:p>
    <w:p w:rsidR="00B023F5" w:rsidRPr="000572AB" w:rsidRDefault="00B023F5" w:rsidP="00D542E2">
      <w:pPr>
        <w:pStyle w:val="a2"/>
        <w:spacing w:after="0" w:line="240" w:lineRule="auto"/>
        <w:contextualSpacing/>
        <w:jc w:val="both"/>
        <w:rPr>
          <w:rFonts w:ascii="Times New Roman" w:hAnsi="Times New Roman"/>
          <w:sz w:val="20"/>
          <w:szCs w:val="20"/>
        </w:rPr>
      </w:pPr>
      <w:r w:rsidRPr="000572AB">
        <w:rPr>
          <w:rFonts w:ascii="Times New Roman" w:hAnsi="Times New Roman"/>
          <w:b/>
          <w:sz w:val="20"/>
          <w:szCs w:val="20"/>
        </w:rPr>
        <w:t>Інші доходи</w:t>
      </w:r>
      <w:r w:rsidRPr="000572AB">
        <w:rPr>
          <w:rFonts w:ascii="Times New Roman" w:hAnsi="Times New Roman"/>
          <w:sz w:val="20"/>
          <w:szCs w:val="20"/>
        </w:rPr>
        <w:t xml:space="preserve"> у 2017 рік у розмірі  1 712 тис. грн.  є результатом торгівлі цінними паперами (акції та інвестиційні сертифікати</w:t>
      </w:r>
      <w:r w:rsidR="0039303B" w:rsidRPr="000572AB">
        <w:rPr>
          <w:rFonts w:ascii="Times New Roman" w:hAnsi="Times New Roman"/>
          <w:sz w:val="20"/>
          <w:szCs w:val="20"/>
        </w:rPr>
        <w:t>)</w:t>
      </w:r>
      <w:r w:rsidRPr="000572AB">
        <w:rPr>
          <w:rFonts w:ascii="Times New Roman" w:hAnsi="Times New Roman"/>
          <w:sz w:val="20"/>
          <w:szCs w:val="20"/>
        </w:rPr>
        <w:t>.</w:t>
      </w:r>
      <w:r w:rsidR="0039303B" w:rsidRPr="000572AB">
        <w:rPr>
          <w:rFonts w:ascii="Times New Roman" w:hAnsi="Times New Roman"/>
          <w:sz w:val="20"/>
          <w:szCs w:val="20"/>
        </w:rPr>
        <w:t xml:space="preserve"> У 2016 році такий показник становив 5 691 тис. грн..</w:t>
      </w:r>
    </w:p>
    <w:p w:rsidR="00B023F5" w:rsidRPr="000572AB" w:rsidRDefault="00D47163" w:rsidP="00D542E2">
      <w:pPr>
        <w:pStyle w:val="a2"/>
        <w:spacing w:after="0" w:line="240" w:lineRule="auto"/>
        <w:contextualSpacing/>
        <w:jc w:val="both"/>
        <w:rPr>
          <w:rFonts w:ascii="Times New Roman" w:hAnsi="Times New Roman"/>
          <w:sz w:val="20"/>
          <w:szCs w:val="20"/>
        </w:rPr>
      </w:pPr>
      <w:r w:rsidRPr="000572AB">
        <w:rPr>
          <w:rFonts w:ascii="Times New Roman" w:hAnsi="Times New Roman"/>
          <w:b/>
          <w:sz w:val="20"/>
          <w:szCs w:val="20"/>
        </w:rPr>
        <w:t>Фінансові витрати</w:t>
      </w:r>
      <w:r w:rsidRPr="000572AB">
        <w:rPr>
          <w:rFonts w:ascii="Times New Roman" w:hAnsi="Times New Roman"/>
          <w:sz w:val="20"/>
          <w:szCs w:val="20"/>
        </w:rPr>
        <w:t xml:space="preserve"> </w:t>
      </w:r>
      <w:r w:rsidR="0039303B" w:rsidRPr="000572AB">
        <w:rPr>
          <w:rFonts w:ascii="Times New Roman" w:hAnsi="Times New Roman"/>
          <w:sz w:val="20"/>
          <w:szCs w:val="20"/>
        </w:rPr>
        <w:t xml:space="preserve">за 2017 рік </w:t>
      </w:r>
      <w:r w:rsidR="00312F25" w:rsidRPr="000572AB">
        <w:rPr>
          <w:rFonts w:ascii="Times New Roman" w:hAnsi="Times New Roman"/>
          <w:sz w:val="20"/>
          <w:szCs w:val="20"/>
        </w:rPr>
        <w:t xml:space="preserve">становлять </w:t>
      </w:r>
      <w:r w:rsidR="00AA7C10" w:rsidRPr="000572AB">
        <w:rPr>
          <w:rFonts w:ascii="Times New Roman" w:hAnsi="Times New Roman"/>
          <w:sz w:val="20"/>
          <w:szCs w:val="20"/>
        </w:rPr>
        <w:t>22 732</w:t>
      </w:r>
      <w:r w:rsidR="00BC5701" w:rsidRPr="000572AB">
        <w:rPr>
          <w:rFonts w:ascii="Times New Roman" w:hAnsi="Times New Roman"/>
          <w:sz w:val="20"/>
          <w:szCs w:val="20"/>
        </w:rPr>
        <w:t xml:space="preserve"> тис. грн</w:t>
      </w:r>
      <w:r w:rsidRPr="000572AB">
        <w:rPr>
          <w:rFonts w:ascii="Times New Roman" w:hAnsi="Times New Roman"/>
          <w:sz w:val="20"/>
          <w:szCs w:val="20"/>
        </w:rPr>
        <w:t xml:space="preserve">., </w:t>
      </w:r>
      <w:r w:rsidR="008C73E7" w:rsidRPr="000572AB">
        <w:rPr>
          <w:rFonts w:ascii="Times New Roman" w:hAnsi="Times New Roman"/>
          <w:sz w:val="20"/>
          <w:szCs w:val="20"/>
        </w:rPr>
        <w:t>та</w:t>
      </w:r>
      <w:r w:rsidRPr="000572AB">
        <w:rPr>
          <w:rFonts w:ascii="Times New Roman" w:hAnsi="Times New Roman"/>
          <w:sz w:val="20"/>
          <w:szCs w:val="20"/>
        </w:rPr>
        <w:t xml:space="preserve"> складаються з витрат по нарахуванню відсотків за </w:t>
      </w:r>
      <w:r w:rsidR="00312F25" w:rsidRPr="000572AB">
        <w:rPr>
          <w:rFonts w:ascii="Times New Roman" w:hAnsi="Times New Roman"/>
          <w:sz w:val="20"/>
          <w:szCs w:val="20"/>
        </w:rPr>
        <w:t>договорами залучення фінансових активів від юридичних осіб з зобов’язанням щодо наступного їх повернення</w:t>
      </w:r>
      <w:r w:rsidR="00D44175" w:rsidRPr="000572AB">
        <w:rPr>
          <w:rFonts w:ascii="Times New Roman" w:hAnsi="Times New Roman"/>
          <w:sz w:val="20"/>
          <w:szCs w:val="20"/>
        </w:rPr>
        <w:t xml:space="preserve"> </w:t>
      </w:r>
      <w:r w:rsidR="00B023F5" w:rsidRPr="000572AB">
        <w:rPr>
          <w:rFonts w:ascii="Times New Roman" w:hAnsi="Times New Roman"/>
          <w:sz w:val="20"/>
          <w:szCs w:val="20"/>
        </w:rPr>
        <w:t xml:space="preserve">(17 029 тис.грн) </w:t>
      </w:r>
      <w:r w:rsidR="00D44175" w:rsidRPr="000572AB">
        <w:rPr>
          <w:rFonts w:ascii="Times New Roman" w:hAnsi="Times New Roman"/>
          <w:sz w:val="20"/>
          <w:szCs w:val="20"/>
        </w:rPr>
        <w:t xml:space="preserve">та </w:t>
      </w:r>
      <w:r w:rsidR="00B023F5" w:rsidRPr="000572AB">
        <w:rPr>
          <w:rFonts w:ascii="Times New Roman" w:hAnsi="Times New Roman"/>
          <w:sz w:val="20"/>
          <w:szCs w:val="20"/>
        </w:rPr>
        <w:t>витрат по нарахуванню відсотків по облігаціям власної емісії (5 702 тис.грн).</w:t>
      </w:r>
      <w:r w:rsidR="0039303B" w:rsidRPr="000572AB">
        <w:rPr>
          <w:rFonts w:ascii="Times New Roman" w:hAnsi="Times New Roman"/>
          <w:sz w:val="20"/>
          <w:szCs w:val="20"/>
        </w:rPr>
        <w:t xml:space="preserve"> За 2016 рік фінансові витрати становили 35 391 тис. грн.</w:t>
      </w:r>
    </w:p>
    <w:p w:rsidR="00B023F5" w:rsidRPr="000572AB" w:rsidRDefault="00B023F5" w:rsidP="00D542E2">
      <w:pPr>
        <w:pStyle w:val="a2"/>
        <w:spacing w:after="0" w:line="240" w:lineRule="auto"/>
        <w:contextualSpacing/>
        <w:jc w:val="both"/>
        <w:rPr>
          <w:rFonts w:ascii="Times New Roman" w:hAnsi="Times New Roman"/>
          <w:sz w:val="20"/>
          <w:szCs w:val="20"/>
        </w:rPr>
      </w:pPr>
    </w:p>
    <w:p w:rsidR="008157F6" w:rsidRPr="000572AB" w:rsidRDefault="008157F6" w:rsidP="00D542E2">
      <w:pPr>
        <w:pStyle w:val="a2"/>
        <w:spacing w:after="0" w:line="240" w:lineRule="auto"/>
        <w:contextualSpacing/>
        <w:jc w:val="both"/>
        <w:rPr>
          <w:rFonts w:ascii="Times New Roman" w:hAnsi="Times New Roman"/>
          <w:sz w:val="20"/>
          <w:szCs w:val="20"/>
        </w:rPr>
      </w:pPr>
      <w:r w:rsidRPr="000572AB">
        <w:rPr>
          <w:rFonts w:ascii="Times New Roman" w:hAnsi="Times New Roman"/>
          <w:sz w:val="20"/>
          <w:szCs w:val="20"/>
        </w:rPr>
        <w:t>Ф</w:t>
      </w:r>
      <w:r w:rsidR="000B4EFE" w:rsidRPr="000572AB">
        <w:rPr>
          <w:rFonts w:ascii="Times New Roman" w:hAnsi="Times New Roman"/>
          <w:sz w:val="20"/>
          <w:szCs w:val="20"/>
        </w:rPr>
        <w:t>інансовий результат (</w:t>
      </w:r>
      <w:r w:rsidR="007818CF" w:rsidRPr="000572AB">
        <w:rPr>
          <w:rFonts w:ascii="Times New Roman" w:hAnsi="Times New Roman"/>
          <w:sz w:val="20"/>
          <w:szCs w:val="20"/>
        </w:rPr>
        <w:t>прибуток</w:t>
      </w:r>
      <w:r w:rsidR="000B4EFE" w:rsidRPr="000572AB">
        <w:rPr>
          <w:rFonts w:ascii="Times New Roman" w:hAnsi="Times New Roman"/>
          <w:sz w:val="20"/>
          <w:szCs w:val="20"/>
        </w:rPr>
        <w:t xml:space="preserve">) </w:t>
      </w:r>
      <w:r w:rsidRPr="000572AB">
        <w:rPr>
          <w:rFonts w:ascii="Times New Roman" w:hAnsi="Times New Roman"/>
          <w:sz w:val="20"/>
          <w:szCs w:val="20"/>
        </w:rPr>
        <w:t xml:space="preserve">до оподаткування </w:t>
      </w:r>
      <w:r w:rsidR="000B4EFE" w:rsidRPr="000572AB">
        <w:rPr>
          <w:rFonts w:ascii="Times New Roman" w:hAnsi="Times New Roman"/>
          <w:sz w:val="20"/>
          <w:szCs w:val="20"/>
        </w:rPr>
        <w:t xml:space="preserve">за </w:t>
      </w:r>
      <w:r w:rsidR="00AB56DD" w:rsidRPr="000572AB">
        <w:rPr>
          <w:rFonts w:ascii="Times New Roman" w:hAnsi="Times New Roman"/>
          <w:sz w:val="20"/>
          <w:szCs w:val="20"/>
        </w:rPr>
        <w:t>201</w:t>
      </w:r>
      <w:r w:rsidR="00956B00" w:rsidRPr="000572AB">
        <w:rPr>
          <w:rFonts w:ascii="Times New Roman" w:hAnsi="Times New Roman"/>
          <w:sz w:val="20"/>
          <w:szCs w:val="20"/>
        </w:rPr>
        <w:t>7</w:t>
      </w:r>
      <w:r w:rsidR="000B4EFE" w:rsidRPr="000572AB">
        <w:rPr>
          <w:rFonts w:ascii="Times New Roman" w:hAnsi="Times New Roman"/>
          <w:sz w:val="20"/>
          <w:szCs w:val="20"/>
        </w:rPr>
        <w:t xml:space="preserve"> рік становить </w:t>
      </w:r>
      <w:r w:rsidR="00B023F5" w:rsidRPr="000572AB">
        <w:rPr>
          <w:rFonts w:ascii="Times New Roman" w:hAnsi="Times New Roman"/>
          <w:sz w:val="20"/>
          <w:szCs w:val="20"/>
        </w:rPr>
        <w:t>367</w:t>
      </w:r>
      <w:r w:rsidR="000B4EFE" w:rsidRPr="000572AB">
        <w:rPr>
          <w:rFonts w:ascii="Times New Roman" w:hAnsi="Times New Roman"/>
          <w:sz w:val="20"/>
          <w:szCs w:val="20"/>
        </w:rPr>
        <w:t xml:space="preserve"> тис. грн.</w:t>
      </w:r>
      <w:r w:rsidR="0039303B" w:rsidRPr="000572AB">
        <w:rPr>
          <w:rFonts w:ascii="Times New Roman" w:hAnsi="Times New Roman"/>
          <w:sz w:val="20"/>
          <w:szCs w:val="20"/>
        </w:rPr>
        <w:t xml:space="preserve"> </w:t>
      </w:r>
      <w:r w:rsidR="00BD7C78" w:rsidRPr="000572AB">
        <w:rPr>
          <w:rFonts w:ascii="Times New Roman" w:hAnsi="Times New Roman"/>
          <w:sz w:val="20"/>
          <w:szCs w:val="20"/>
        </w:rPr>
        <w:t xml:space="preserve">(626 тисю грн. за 2016 рік). </w:t>
      </w:r>
      <w:r w:rsidR="00B023F5" w:rsidRPr="000572AB">
        <w:rPr>
          <w:rFonts w:ascii="Times New Roman" w:hAnsi="Times New Roman"/>
          <w:sz w:val="20"/>
          <w:szCs w:val="20"/>
        </w:rPr>
        <w:t xml:space="preserve"> </w:t>
      </w:r>
      <w:r w:rsidRPr="000572AB">
        <w:rPr>
          <w:rFonts w:ascii="Times New Roman" w:hAnsi="Times New Roman"/>
          <w:sz w:val="20"/>
          <w:szCs w:val="20"/>
        </w:rPr>
        <w:t xml:space="preserve">Витрати з податку на прибуток станом </w:t>
      </w:r>
      <w:r w:rsidR="00BD7C78" w:rsidRPr="000572AB">
        <w:rPr>
          <w:rFonts w:ascii="Times New Roman" w:hAnsi="Times New Roman"/>
          <w:sz w:val="20"/>
          <w:szCs w:val="20"/>
        </w:rPr>
        <w:t>у 2017</w:t>
      </w:r>
      <w:r w:rsidRPr="000572AB">
        <w:rPr>
          <w:rFonts w:ascii="Times New Roman" w:hAnsi="Times New Roman"/>
          <w:sz w:val="20"/>
          <w:szCs w:val="20"/>
        </w:rPr>
        <w:t xml:space="preserve"> р</w:t>
      </w:r>
      <w:r w:rsidR="00BD7C78" w:rsidRPr="000572AB">
        <w:rPr>
          <w:rFonts w:ascii="Times New Roman" w:hAnsi="Times New Roman"/>
          <w:sz w:val="20"/>
          <w:szCs w:val="20"/>
        </w:rPr>
        <w:t>оці</w:t>
      </w:r>
      <w:r w:rsidRPr="000572AB">
        <w:rPr>
          <w:rFonts w:ascii="Times New Roman" w:hAnsi="Times New Roman"/>
          <w:sz w:val="20"/>
          <w:szCs w:val="20"/>
        </w:rPr>
        <w:t xml:space="preserve">. складають </w:t>
      </w:r>
      <w:r w:rsidR="00B023F5" w:rsidRPr="000572AB">
        <w:rPr>
          <w:rFonts w:ascii="Times New Roman" w:hAnsi="Times New Roman"/>
          <w:sz w:val="20"/>
          <w:szCs w:val="20"/>
        </w:rPr>
        <w:t>66</w:t>
      </w:r>
      <w:r w:rsidRPr="000572AB">
        <w:rPr>
          <w:rFonts w:ascii="Times New Roman" w:hAnsi="Times New Roman"/>
          <w:sz w:val="20"/>
          <w:szCs w:val="20"/>
        </w:rPr>
        <w:t xml:space="preserve"> тис. грн.,</w:t>
      </w:r>
      <w:r w:rsidR="00BD7C78" w:rsidRPr="000572AB">
        <w:rPr>
          <w:rFonts w:ascii="Times New Roman" w:hAnsi="Times New Roman"/>
          <w:sz w:val="20"/>
          <w:szCs w:val="20"/>
        </w:rPr>
        <w:t xml:space="preserve"> (113 тис грн. у 2016 році).</w:t>
      </w:r>
      <w:r w:rsidRPr="000572AB">
        <w:rPr>
          <w:rFonts w:ascii="Times New Roman" w:hAnsi="Times New Roman"/>
          <w:sz w:val="20"/>
          <w:szCs w:val="20"/>
        </w:rPr>
        <w:t xml:space="preserve"> </w:t>
      </w:r>
    </w:p>
    <w:p w:rsidR="00BD7C78" w:rsidRPr="000572AB" w:rsidRDefault="00BD7C78" w:rsidP="00D542E2">
      <w:pPr>
        <w:pStyle w:val="a2"/>
        <w:spacing w:after="0" w:line="240" w:lineRule="auto"/>
        <w:contextualSpacing/>
        <w:jc w:val="both"/>
        <w:rPr>
          <w:rFonts w:ascii="Times New Roman" w:hAnsi="Times New Roman"/>
          <w:sz w:val="20"/>
          <w:szCs w:val="20"/>
        </w:rPr>
      </w:pPr>
    </w:p>
    <w:p w:rsidR="000B4EFE" w:rsidRPr="000572AB" w:rsidRDefault="008157F6" w:rsidP="00D542E2">
      <w:pPr>
        <w:pStyle w:val="1"/>
        <w:numPr>
          <w:ilvl w:val="0"/>
          <w:numId w:val="0"/>
        </w:numPr>
        <w:spacing w:before="0" w:after="0"/>
        <w:jc w:val="both"/>
        <w:rPr>
          <w:b w:val="0"/>
          <w:bCs w:val="0"/>
          <w:sz w:val="20"/>
          <w:szCs w:val="20"/>
          <w:lang w:val="uk-UA"/>
        </w:rPr>
      </w:pPr>
      <w:r w:rsidRPr="000572AB">
        <w:rPr>
          <w:b w:val="0"/>
          <w:bCs w:val="0"/>
          <w:sz w:val="20"/>
          <w:szCs w:val="20"/>
          <w:lang w:val="uk-UA"/>
        </w:rPr>
        <w:t xml:space="preserve">Чистий фінансовий результат (прибуток) </w:t>
      </w:r>
      <w:r w:rsidR="00BD7C78" w:rsidRPr="000572AB">
        <w:rPr>
          <w:b w:val="0"/>
          <w:bCs w:val="0"/>
          <w:sz w:val="20"/>
          <w:szCs w:val="20"/>
          <w:lang w:val="uk-UA"/>
        </w:rPr>
        <w:t xml:space="preserve">2017 року </w:t>
      </w:r>
      <w:r w:rsidRPr="000572AB">
        <w:rPr>
          <w:b w:val="0"/>
          <w:bCs w:val="0"/>
          <w:sz w:val="20"/>
          <w:szCs w:val="20"/>
          <w:lang w:val="uk-UA"/>
        </w:rPr>
        <w:t xml:space="preserve">становить </w:t>
      </w:r>
      <w:r w:rsidR="00B023F5" w:rsidRPr="000572AB">
        <w:rPr>
          <w:b w:val="0"/>
          <w:bCs w:val="0"/>
          <w:sz w:val="20"/>
          <w:szCs w:val="20"/>
          <w:lang w:val="uk-UA"/>
        </w:rPr>
        <w:t>301</w:t>
      </w:r>
      <w:r w:rsidRPr="000572AB">
        <w:rPr>
          <w:b w:val="0"/>
          <w:bCs w:val="0"/>
          <w:sz w:val="20"/>
          <w:szCs w:val="20"/>
          <w:lang w:val="uk-UA"/>
        </w:rPr>
        <w:t xml:space="preserve"> т</w:t>
      </w:r>
      <w:r w:rsidR="00BD7C78" w:rsidRPr="000572AB">
        <w:rPr>
          <w:b w:val="0"/>
          <w:bCs w:val="0"/>
          <w:sz w:val="20"/>
          <w:szCs w:val="20"/>
          <w:lang w:val="uk-UA"/>
        </w:rPr>
        <w:t>ис. грн. (513 тис. грн. у 2016 році)</w:t>
      </w:r>
      <w:r w:rsidRPr="000572AB">
        <w:rPr>
          <w:b w:val="0"/>
          <w:bCs w:val="0"/>
          <w:sz w:val="20"/>
          <w:szCs w:val="20"/>
          <w:lang w:val="uk-UA"/>
        </w:rPr>
        <w:t xml:space="preserve"> </w:t>
      </w:r>
    </w:p>
    <w:p w:rsidR="00176E02" w:rsidRPr="000572AB" w:rsidRDefault="00176E02" w:rsidP="00D542E2">
      <w:pPr>
        <w:pStyle w:val="a"/>
        <w:numPr>
          <w:ilvl w:val="0"/>
          <w:numId w:val="0"/>
        </w:numPr>
        <w:ind w:left="720"/>
        <w:rPr>
          <w:sz w:val="20"/>
          <w:szCs w:val="20"/>
        </w:rPr>
      </w:pPr>
    </w:p>
    <w:p w:rsidR="007818CF" w:rsidRPr="000572AB" w:rsidRDefault="007818CF" w:rsidP="00D542E2">
      <w:pPr>
        <w:pStyle w:val="a"/>
        <w:rPr>
          <w:sz w:val="20"/>
          <w:szCs w:val="20"/>
        </w:rPr>
      </w:pPr>
      <w:r w:rsidRPr="000572AB">
        <w:rPr>
          <w:sz w:val="20"/>
          <w:szCs w:val="20"/>
        </w:rPr>
        <w:t xml:space="preserve"> Звіт про рух грошових коштів</w:t>
      </w:r>
    </w:p>
    <w:p w:rsidR="007818CF" w:rsidRPr="000572AB" w:rsidRDefault="007818CF" w:rsidP="00D542E2">
      <w:pPr>
        <w:pStyle w:val="a2"/>
        <w:spacing w:after="0" w:line="240" w:lineRule="auto"/>
        <w:ind w:firstLine="709"/>
        <w:jc w:val="both"/>
        <w:rPr>
          <w:rFonts w:ascii="Times New Roman" w:hAnsi="Times New Roman"/>
          <w:sz w:val="20"/>
          <w:szCs w:val="20"/>
        </w:rPr>
      </w:pPr>
      <w:r w:rsidRPr="000572AB">
        <w:rPr>
          <w:rFonts w:ascii="Times New Roman" w:hAnsi="Times New Roman"/>
          <w:sz w:val="20"/>
          <w:szCs w:val="20"/>
        </w:rPr>
        <w:t>Звіт про рух грошових коштів за 201</w:t>
      </w:r>
      <w:r w:rsidR="000C1F92" w:rsidRPr="000572AB">
        <w:rPr>
          <w:rFonts w:ascii="Times New Roman" w:hAnsi="Times New Roman"/>
          <w:sz w:val="20"/>
          <w:szCs w:val="20"/>
        </w:rPr>
        <w:t>7</w:t>
      </w:r>
      <w:r w:rsidRPr="000572AB">
        <w:rPr>
          <w:rFonts w:ascii="Times New Roman" w:hAnsi="Times New Roman"/>
          <w:sz w:val="20"/>
          <w:szCs w:val="20"/>
        </w:rPr>
        <w:t xml:space="preserve"> рік складено за вимогами МСБО 7 за прямим методом, згідно з яким розкривається інформація про основні класи валових надходжень грошових коштів чи валових виплат грошових коштів на нетто-основі. У звіті відображений рух грошових коштів від операційної, інвестиційної та фінансової, діяльності Товариства. </w:t>
      </w:r>
    </w:p>
    <w:p w:rsidR="00777E42" w:rsidRPr="000572AB" w:rsidRDefault="00777E42" w:rsidP="00D542E2">
      <w:pPr>
        <w:pStyle w:val="2"/>
        <w:numPr>
          <w:ilvl w:val="0"/>
          <w:numId w:val="0"/>
        </w:numPr>
        <w:spacing w:before="0" w:after="0"/>
        <w:ind w:firstLine="708"/>
        <w:jc w:val="both"/>
        <w:rPr>
          <w:b w:val="0"/>
          <w:bCs w:val="0"/>
          <w:sz w:val="20"/>
          <w:szCs w:val="20"/>
          <w:lang w:val="uk-UA" w:eastAsia="en-US"/>
        </w:rPr>
      </w:pPr>
    </w:p>
    <w:p w:rsidR="007818CF" w:rsidRPr="000572AB" w:rsidRDefault="008377A0" w:rsidP="00D542E2">
      <w:pPr>
        <w:pStyle w:val="2"/>
        <w:numPr>
          <w:ilvl w:val="0"/>
          <w:numId w:val="0"/>
        </w:numPr>
        <w:spacing w:before="0" w:after="0"/>
        <w:ind w:firstLine="708"/>
        <w:jc w:val="both"/>
        <w:rPr>
          <w:sz w:val="20"/>
          <w:szCs w:val="20"/>
          <w:lang w:val="uk-UA"/>
        </w:rPr>
      </w:pPr>
      <w:r w:rsidRPr="000572AB">
        <w:rPr>
          <w:sz w:val="20"/>
          <w:szCs w:val="20"/>
          <w:lang w:val="uk-UA"/>
        </w:rPr>
        <w:t>2</w:t>
      </w:r>
      <w:r w:rsidR="00B023F5" w:rsidRPr="000572AB">
        <w:rPr>
          <w:sz w:val="20"/>
          <w:szCs w:val="20"/>
          <w:lang w:val="uk-UA"/>
        </w:rPr>
        <w:t>0</w:t>
      </w:r>
      <w:r w:rsidR="007818CF" w:rsidRPr="000572AB">
        <w:rPr>
          <w:sz w:val="20"/>
          <w:szCs w:val="20"/>
          <w:lang w:val="uk-UA"/>
        </w:rPr>
        <w:t>.1. Рух коштів у ре</w:t>
      </w:r>
      <w:r w:rsidR="008157F6" w:rsidRPr="000572AB">
        <w:rPr>
          <w:sz w:val="20"/>
          <w:szCs w:val="20"/>
          <w:lang w:val="uk-UA"/>
        </w:rPr>
        <w:t>зультаті операційної діяльності</w:t>
      </w:r>
    </w:p>
    <w:p w:rsidR="007818CF" w:rsidRPr="000572AB" w:rsidRDefault="007818CF" w:rsidP="00D542E2">
      <w:pPr>
        <w:pStyle w:val="a2"/>
        <w:spacing w:after="0" w:line="240" w:lineRule="auto"/>
        <w:ind w:firstLine="709"/>
        <w:jc w:val="both"/>
        <w:rPr>
          <w:rFonts w:ascii="Times New Roman" w:hAnsi="Times New Roman"/>
          <w:sz w:val="20"/>
          <w:szCs w:val="20"/>
        </w:rPr>
      </w:pPr>
      <w:r w:rsidRPr="000572AB">
        <w:rPr>
          <w:rFonts w:ascii="Times New Roman" w:hAnsi="Times New Roman"/>
          <w:sz w:val="20"/>
          <w:szCs w:val="20"/>
        </w:rPr>
        <w:t xml:space="preserve">Операційна діяльність полягає в отриманні прибутку від звичайної діяльності.Операційна діяльність є основним видом діяльності </w:t>
      </w:r>
      <w:r w:rsidR="00094AB4" w:rsidRPr="000572AB">
        <w:rPr>
          <w:rFonts w:ascii="Times New Roman" w:hAnsi="Times New Roman"/>
          <w:sz w:val="20"/>
          <w:szCs w:val="20"/>
        </w:rPr>
        <w:t>Товариства</w:t>
      </w:r>
      <w:r w:rsidRPr="000572AB">
        <w:rPr>
          <w:rFonts w:ascii="Times New Roman" w:hAnsi="Times New Roman"/>
          <w:sz w:val="20"/>
          <w:szCs w:val="20"/>
        </w:rPr>
        <w:t xml:space="preserve"> для отримання доходу </w:t>
      </w:r>
      <w:r w:rsidR="008157F6" w:rsidRPr="000572AB">
        <w:rPr>
          <w:rFonts w:ascii="Times New Roman" w:hAnsi="Times New Roman"/>
          <w:sz w:val="20"/>
          <w:szCs w:val="20"/>
        </w:rPr>
        <w:t>від надання фінансових послуг.</w:t>
      </w:r>
    </w:p>
    <w:p w:rsidR="00777E42" w:rsidRPr="000572AB" w:rsidRDefault="00777E42" w:rsidP="00D542E2">
      <w:pPr>
        <w:pStyle w:val="a2"/>
        <w:spacing w:after="0" w:line="240" w:lineRule="auto"/>
        <w:ind w:firstLine="709"/>
        <w:jc w:val="both"/>
        <w:rPr>
          <w:rFonts w:ascii="Times New Roman" w:hAnsi="Times New Roman"/>
          <w:sz w:val="20"/>
          <w:szCs w:val="20"/>
        </w:rPr>
      </w:pPr>
    </w:p>
    <w:p w:rsidR="001A1FC8" w:rsidRPr="000572AB" w:rsidRDefault="001A1FC8" w:rsidP="00D542E2">
      <w:pPr>
        <w:pStyle w:val="a2"/>
        <w:spacing w:after="0" w:line="240" w:lineRule="auto"/>
        <w:jc w:val="both"/>
        <w:rPr>
          <w:rFonts w:ascii="Times New Roman" w:hAnsi="Times New Roman"/>
          <w:sz w:val="20"/>
          <w:szCs w:val="20"/>
        </w:rPr>
      </w:pPr>
      <w:r w:rsidRPr="000572AB">
        <w:rPr>
          <w:rFonts w:ascii="Times New Roman" w:hAnsi="Times New Roman"/>
          <w:b/>
          <w:sz w:val="20"/>
          <w:szCs w:val="20"/>
        </w:rPr>
        <w:t xml:space="preserve">Надходження </w:t>
      </w:r>
      <w:r w:rsidRPr="000572AB">
        <w:rPr>
          <w:rFonts w:ascii="Times New Roman" w:hAnsi="Times New Roman"/>
          <w:sz w:val="20"/>
          <w:szCs w:val="20"/>
        </w:rPr>
        <w:t>від операційної діяльності за 201</w:t>
      </w:r>
      <w:r w:rsidR="000C1F92" w:rsidRPr="000572AB">
        <w:rPr>
          <w:rFonts w:ascii="Times New Roman" w:hAnsi="Times New Roman"/>
          <w:sz w:val="20"/>
          <w:szCs w:val="20"/>
        </w:rPr>
        <w:t>7</w:t>
      </w:r>
      <w:r w:rsidRPr="000572AB">
        <w:rPr>
          <w:rFonts w:ascii="Times New Roman" w:hAnsi="Times New Roman"/>
          <w:sz w:val="20"/>
          <w:szCs w:val="20"/>
        </w:rPr>
        <w:t xml:space="preserve"> рік </w:t>
      </w:r>
      <w:r w:rsidR="00FB55A9" w:rsidRPr="000572AB">
        <w:rPr>
          <w:rFonts w:ascii="Times New Roman" w:hAnsi="Times New Roman"/>
          <w:sz w:val="20"/>
          <w:szCs w:val="20"/>
        </w:rPr>
        <w:t xml:space="preserve">складаються з </w:t>
      </w:r>
      <w:r w:rsidRPr="000572AB">
        <w:rPr>
          <w:rFonts w:ascii="Times New Roman" w:hAnsi="Times New Roman"/>
          <w:sz w:val="20"/>
          <w:szCs w:val="20"/>
        </w:rPr>
        <w:t>:</w:t>
      </w:r>
    </w:p>
    <w:p w:rsidR="001A1FC8" w:rsidRPr="000572AB" w:rsidRDefault="00FB55A9" w:rsidP="00D542E2">
      <w:pPr>
        <w:pStyle w:val="a2"/>
        <w:numPr>
          <w:ilvl w:val="0"/>
          <w:numId w:val="3"/>
        </w:numPr>
        <w:spacing w:after="0" w:line="240" w:lineRule="auto"/>
        <w:jc w:val="both"/>
        <w:rPr>
          <w:rFonts w:ascii="Times New Roman" w:hAnsi="Times New Roman"/>
          <w:sz w:val="20"/>
          <w:szCs w:val="20"/>
        </w:rPr>
      </w:pPr>
      <w:r w:rsidRPr="000572AB">
        <w:rPr>
          <w:rFonts w:ascii="Times New Roman" w:hAnsi="Times New Roman"/>
          <w:sz w:val="20"/>
          <w:szCs w:val="20"/>
        </w:rPr>
        <w:t xml:space="preserve">надходжень від </w:t>
      </w:r>
      <w:r w:rsidR="00FE26F0" w:rsidRPr="000572AB">
        <w:rPr>
          <w:rFonts w:ascii="Times New Roman" w:hAnsi="Times New Roman"/>
          <w:sz w:val="20"/>
          <w:szCs w:val="20"/>
        </w:rPr>
        <w:t>реалізаці</w:t>
      </w:r>
      <w:r w:rsidRPr="000572AB">
        <w:rPr>
          <w:rFonts w:ascii="Times New Roman" w:hAnsi="Times New Roman"/>
          <w:sz w:val="20"/>
          <w:szCs w:val="20"/>
        </w:rPr>
        <w:t>ї</w:t>
      </w:r>
      <w:r w:rsidR="00FE26F0" w:rsidRPr="000572AB">
        <w:rPr>
          <w:rFonts w:ascii="Times New Roman" w:hAnsi="Times New Roman"/>
          <w:sz w:val="20"/>
          <w:szCs w:val="20"/>
        </w:rPr>
        <w:t xml:space="preserve"> продукції (товарів, робіт, послуг) </w:t>
      </w:r>
      <w:r w:rsidR="001A1FC8" w:rsidRPr="000572AB">
        <w:rPr>
          <w:rFonts w:ascii="Times New Roman" w:hAnsi="Times New Roman"/>
          <w:sz w:val="20"/>
          <w:szCs w:val="20"/>
        </w:rPr>
        <w:t xml:space="preserve">– </w:t>
      </w:r>
      <w:r w:rsidR="00777E42" w:rsidRPr="000572AB">
        <w:rPr>
          <w:rFonts w:ascii="Times New Roman" w:hAnsi="Times New Roman"/>
          <w:sz w:val="20"/>
          <w:szCs w:val="20"/>
        </w:rPr>
        <w:t>18 754</w:t>
      </w:r>
      <w:r w:rsidRPr="000572AB">
        <w:rPr>
          <w:rFonts w:ascii="Times New Roman" w:hAnsi="Times New Roman"/>
          <w:sz w:val="20"/>
          <w:szCs w:val="20"/>
        </w:rPr>
        <w:t xml:space="preserve"> </w:t>
      </w:r>
      <w:r w:rsidR="001A1FC8" w:rsidRPr="000572AB">
        <w:rPr>
          <w:rFonts w:ascii="Times New Roman" w:hAnsi="Times New Roman"/>
          <w:sz w:val="20"/>
          <w:szCs w:val="20"/>
        </w:rPr>
        <w:t>тис. грн.</w:t>
      </w:r>
      <w:r w:rsidRPr="000572AB">
        <w:rPr>
          <w:rFonts w:ascii="Times New Roman" w:hAnsi="Times New Roman"/>
          <w:sz w:val="20"/>
          <w:szCs w:val="20"/>
        </w:rPr>
        <w:t xml:space="preserve">, в основному винагороди за надання </w:t>
      </w:r>
      <w:r w:rsidR="00777E42" w:rsidRPr="000572AB">
        <w:rPr>
          <w:rFonts w:ascii="Times New Roman" w:hAnsi="Times New Roman"/>
          <w:sz w:val="20"/>
          <w:szCs w:val="20"/>
        </w:rPr>
        <w:t>позик, в тому числі на умовах фінансового кредиту</w:t>
      </w:r>
      <w:r w:rsidR="006F3BEA" w:rsidRPr="000572AB">
        <w:rPr>
          <w:rFonts w:ascii="Times New Roman" w:hAnsi="Times New Roman"/>
          <w:sz w:val="20"/>
          <w:szCs w:val="20"/>
        </w:rPr>
        <w:t xml:space="preserve"> (15 454тис грн. у 2016 році)</w:t>
      </w:r>
      <w:r w:rsidRPr="000572AB">
        <w:rPr>
          <w:rFonts w:ascii="Times New Roman" w:hAnsi="Times New Roman"/>
          <w:sz w:val="20"/>
          <w:szCs w:val="20"/>
        </w:rPr>
        <w:t>;</w:t>
      </w:r>
    </w:p>
    <w:p w:rsidR="006F3BEA" w:rsidRPr="000572AB" w:rsidRDefault="00FB55A9" w:rsidP="00D542E2">
      <w:pPr>
        <w:pStyle w:val="a2"/>
        <w:numPr>
          <w:ilvl w:val="0"/>
          <w:numId w:val="3"/>
        </w:numPr>
        <w:spacing w:after="0" w:line="240" w:lineRule="auto"/>
        <w:jc w:val="both"/>
        <w:rPr>
          <w:rFonts w:ascii="Times New Roman" w:hAnsi="Times New Roman"/>
          <w:sz w:val="20"/>
          <w:szCs w:val="20"/>
        </w:rPr>
      </w:pPr>
      <w:r w:rsidRPr="000572AB">
        <w:rPr>
          <w:rFonts w:ascii="Times New Roman" w:hAnsi="Times New Roman"/>
          <w:sz w:val="20"/>
          <w:szCs w:val="20"/>
        </w:rPr>
        <w:t>надходжен</w:t>
      </w:r>
      <w:r w:rsidR="00777E42" w:rsidRPr="000572AB">
        <w:rPr>
          <w:rFonts w:ascii="Times New Roman" w:hAnsi="Times New Roman"/>
          <w:sz w:val="20"/>
          <w:szCs w:val="20"/>
        </w:rPr>
        <w:t>ь</w:t>
      </w:r>
      <w:r w:rsidRPr="000572AB">
        <w:rPr>
          <w:rFonts w:ascii="Times New Roman" w:hAnsi="Times New Roman"/>
          <w:sz w:val="20"/>
          <w:szCs w:val="20"/>
        </w:rPr>
        <w:t xml:space="preserve"> від відсотків за залишками коштів на поточних рахунках – 3 тис. </w:t>
      </w:r>
      <w:r w:rsidR="006F3BEA" w:rsidRPr="000572AB">
        <w:rPr>
          <w:rFonts w:ascii="Times New Roman" w:hAnsi="Times New Roman"/>
          <w:sz w:val="20"/>
          <w:szCs w:val="20"/>
        </w:rPr>
        <w:t>грн.. (11 тис грн. у 2016 році);</w:t>
      </w:r>
    </w:p>
    <w:p w:rsidR="006F3BEA" w:rsidRPr="000572AB" w:rsidRDefault="00777E42" w:rsidP="00D542E2">
      <w:pPr>
        <w:pStyle w:val="a2"/>
        <w:numPr>
          <w:ilvl w:val="0"/>
          <w:numId w:val="3"/>
        </w:numPr>
        <w:spacing w:after="0" w:line="240" w:lineRule="auto"/>
        <w:jc w:val="both"/>
        <w:rPr>
          <w:rFonts w:ascii="Times New Roman" w:hAnsi="Times New Roman"/>
          <w:sz w:val="20"/>
          <w:szCs w:val="20"/>
        </w:rPr>
      </w:pPr>
      <w:r w:rsidRPr="000572AB">
        <w:rPr>
          <w:rFonts w:ascii="Times New Roman" w:hAnsi="Times New Roman"/>
          <w:sz w:val="20"/>
          <w:szCs w:val="20"/>
        </w:rPr>
        <w:t>надходжень неустойки від боржнків - 575 тис. грн.</w:t>
      </w:r>
      <w:r w:rsidR="006F3BEA" w:rsidRPr="000572AB">
        <w:rPr>
          <w:rFonts w:ascii="Times New Roman" w:hAnsi="Times New Roman"/>
          <w:sz w:val="20"/>
          <w:szCs w:val="20"/>
        </w:rPr>
        <w:t xml:space="preserve"> (6 312тис грн. у 2016 році);</w:t>
      </w:r>
    </w:p>
    <w:p w:rsidR="006F3BEA" w:rsidRPr="000572AB" w:rsidRDefault="00777E42" w:rsidP="00D542E2">
      <w:pPr>
        <w:pStyle w:val="a2"/>
        <w:numPr>
          <w:ilvl w:val="0"/>
          <w:numId w:val="3"/>
        </w:numPr>
        <w:spacing w:after="0" w:line="240" w:lineRule="auto"/>
        <w:jc w:val="both"/>
        <w:rPr>
          <w:rFonts w:ascii="Times New Roman" w:hAnsi="Times New Roman"/>
          <w:sz w:val="20"/>
          <w:szCs w:val="20"/>
        </w:rPr>
      </w:pPr>
      <w:r w:rsidRPr="000572AB">
        <w:rPr>
          <w:rFonts w:ascii="Times New Roman" w:hAnsi="Times New Roman"/>
          <w:sz w:val="20"/>
          <w:szCs w:val="20"/>
        </w:rPr>
        <w:t>надходжень від повернення позик -  202 935 тис.грн.</w:t>
      </w:r>
      <w:r w:rsidR="007E1EB9" w:rsidRPr="000572AB">
        <w:rPr>
          <w:rFonts w:ascii="Times New Roman" w:hAnsi="Times New Roman"/>
          <w:sz w:val="20"/>
          <w:szCs w:val="20"/>
        </w:rPr>
        <w:t xml:space="preserve"> (132 088тис грн. у 2016 році).</w:t>
      </w:r>
    </w:p>
    <w:p w:rsidR="001A1FC8" w:rsidRPr="000572AB" w:rsidRDefault="001A1FC8" w:rsidP="00D542E2">
      <w:pPr>
        <w:pStyle w:val="a2"/>
        <w:spacing w:after="0" w:line="240" w:lineRule="auto"/>
        <w:jc w:val="both"/>
        <w:rPr>
          <w:rFonts w:ascii="Times New Roman" w:hAnsi="Times New Roman"/>
          <w:sz w:val="20"/>
          <w:szCs w:val="20"/>
        </w:rPr>
      </w:pPr>
      <w:r w:rsidRPr="000572AB">
        <w:rPr>
          <w:rFonts w:ascii="Times New Roman" w:hAnsi="Times New Roman"/>
          <w:b/>
          <w:sz w:val="20"/>
          <w:szCs w:val="20"/>
        </w:rPr>
        <w:t xml:space="preserve">Витрачання </w:t>
      </w:r>
      <w:r w:rsidRPr="000572AB">
        <w:rPr>
          <w:rFonts w:ascii="Times New Roman" w:hAnsi="Times New Roman"/>
          <w:sz w:val="20"/>
          <w:szCs w:val="20"/>
        </w:rPr>
        <w:t xml:space="preserve"> від операційної діяльності за 201</w:t>
      </w:r>
      <w:r w:rsidR="000C1F92" w:rsidRPr="000572AB">
        <w:rPr>
          <w:rFonts w:ascii="Times New Roman" w:hAnsi="Times New Roman"/>
          <w:sz w:val="20"/>
          <w:szCs w:val="20"/>
        </w:rPr>
        <w:t>7</w:t>
      </w:r>
      <w:r w:rsidRPr="000572AB">
        <w:rPr>
          <w:rFonts w:ascii="Times New Roman" w:hAnsi="Times New Roman"/>
          <w:sz w:val="20"/>
          <w:szCs w:val="20"/>
        </w:rPr>
        <w:t xml:space="preserve"> рік складають:</w:t>
      </w:r>
    </w:p>
    <w:p w:rsidR="006F3BEA" w:rsidRPr="000572AB" w:rsidRDefault="001A1FC8" w:rsidP="00D542E2">
      <w:pPr>
        <w:pStyle w:val="a2"/>
        <w:numPr>
          <w:ilvl w:val="0"/>
          <w:numId w:val="3"/>
        </w:numPr>
        <w:spacing w:after="0" w:line="240" w:lineRule="auto"/>
        <w:jc w:val="both"/>
        <w:rPr>
          <w:rFonts w:ascii="Times New Roman" w:hAnsi="Times New Roman"/>
          <w:sz w:val="20"/>
          <w:szCs w:val="20"/>
        </w:rPr>
      </w:pPr>
      <w:r w:rsidRPr="000572AB">
        <w:rPr>
          <w:rFonts w:ascii="Times New Roman" w:hAnsi="Times New Roman"/>
          <w:sz w:val="20"/>
          <w:szCs w:val="20"/>
        </w:rPr>
        <w:t>на опл</w:t>
      </w:r>
      <w:r w:rsidR="002F02BF" w:rsidRPr="000572AB">
        <w:rPr>
          <w:rFonts w:ascii="Times New Roman" w:hAnsi="Times New Roman"/>
          <w:sz w:val="20"/>
          <w:szCs w:val="20"/>
        </w:rPr>
        <w:t xml:space="preserve">ату товарів (робіт, послуг) – </w:t>
      </w:r>
      <w:r w:rsidR="00777E42" w:rsidRPr="000572AB">
        <w:rPr>
          <w:rFonts w:ascii="Times New Roman" w:hAnsi="Times New Roman"/>
          <w:sz w:val="20"/>
          <w:szCs w:val="20"/>
        </w:rPr>
        <w:t>306</w:t>
      </w:r>
      <w:r w:rsidRPr="000572AB">
        <w:rPr>
          <w:rFonts w:ascii="Times New Roman" w:hAnsi="Times New Roman"/>
          <w:sz w:val="20"/>
          <w:szCs w:val="20"/>
        </w:rPr>
        <w:t xml:space="preserve"> тис. грн</w:t>
      </w:r>
      <w:r w:rsidR="006F3BEA" w:rsidRPr="000572AB">
        <w:rPr>
          <w:rFonts w:ascii="Times New Roman" w:hAnsi="Times New Roman"/>
          <w:sz w:val="20"/>
          <w:szCs w:val="20"/>
        </w:rPr>
        <w:t xml:space="preserve"> (282тис грн. у 2016 році);</w:t>
      </w:r>
    </w:p>
    <w:p w:rsidR="001A1FC8" w:rsidRPr="000572AB" w:rsidRDefault="001A1FC8" w:rsidP="00D542E2">
      <w:pPr>
        <w:pStyle w:val="a2"/>
        <w:numPr>
          <w:ilvl w:val="0"/>
          <w:numId w:val="3"/>
        </w:numPr>
        <w:spacing w:after="0" w:line="240" w:lineRule="auto"/>
        <w:jc w:val="both"/>
        <w:rPr>
          <w:rFonts w:ascii="Times New Roman" w:hAnsi="Times New Roman"/>
          <w:sz w:val="20"/>
          <w:szCs w:val="20"/>
        </w:rPr>
      </w:pPr>
      <w:r w:rsidRPr="000572AB">
        <w:rPr>
          <w:rFonts w:ascii="Times New Roman" w:hAnsi="Times New Roman"/>
          <w:sz w:val="20"/>
          <w:szCs w:val="20"/>
        </w:rPr>
        <w:t xml:space="preserve">на оплату праці – </w:t>
      </w:r>
      <w:r w:rsidR="00777E42" w:rsidRPr="000572AB">
        <w:rPr>
          <w:rFonts w:ascii="Times New Roman" w:hAnsi="Times New Roman"/>
          <w:sz w:val="20"/>
          <w:szCs w:val="20"/>
        </w:rPr>
        <w:t>399</w:t>
      </w:r>
      <w:r w:rsidRPr="000572AB">
        <w:rPr>
          <w:rFonts w:ascii="Times New Roman" w:hAnsi="Times New Roman"/>
          <w:sz w:val="20"/>
          <w:szCs w:val="20"/>
        </w:rPr>
        <w:t xml:space="preserve"> тис. грн</w:t>
      </w:r>
      <w:r w:rsidR="006F3BEA" w:rsidRPr="000572AB">
        <w:rPr>
          <w:rFonts w:ascii="Times New Roman" w:hAnsi="Times New Roman"/>
          <w:sz w:val="20"/>
          <w:szCs w:val="20"/>
        </w:rPr>
        <w:t xml:space="preserve"> (302тис грн. у 2016 році);</w:t>
      </w:r>
    </w:p>
    <w:p w:rsidR="006F3BEA" w:rsidRPr="000572AB" w:rsidRDefault="002F02BF" w:rsidP="00D542E2">
      <w:pPr>
        <w:pStyle w:val="a2"/>
        <w:numPr>
          <w:ilvl w:val="0"/>
          <w:numId w:val="3"/>
        </w:numPr>
        <w:spacing w:after="0" w:line="240" w:lineRule="auto"/>
        <w:jc w:val="both"/>
        <w:rPr>
          <w:rFonts w:ascii="Times New Roman" w:hAnsi="Times New Roman"/>
          <w:sz w:val="20"/>
          <w:szCs w:val="20"/>
        </w:rPr>
      </w:pPr>
      <w:r w:rsidRPr="000572AB">
        <w:rPr>
          <w:rFonts w:ascii="Times New Roman" w:hAnsi="Times New Roman"/>
          <w:sz w:val="20"/>
          <w:szCs w:val="20"/>
        </w:rPr>
        <w:t>на оплату відрахувань</w:t>
      </w:r>
      <w:r w:rsidR="001A1FC8" w:rsidRPr="000572AB">
        <w:rPr>
          <w:rFonts w:ascii="Times New Roman" w:hAnsi="Times New Roman"/>
          <w:sz w:val="20"/>
          <w:szCs w:val="20"/>
        </w:rPr>
        <w:t xml:space="preserve"> на соціальні заходи – </w:t>
      </w:r>
      <w:r w:rsidR="000C1F92" w:rsidRPr="000572AB">
        <w:rPr>
          <w:rFonts w:ascii="Times New Roman" w:hAnsi="Times New Roman"/>
          <w:sz w:val="20"/>
          <w:szCs w:val="20"/>
        </w:rPr>
        <w:t>1</w:t>
      </w:r>
      <w:r w:rsidR="007275A4" w:rsidRPr="000572AB">
        <w:rPr>
          <w:rFonts w:ascii="Times New Roman" w:hAnsi="Times New Roman"/>
          <w:sz w:val="20"/>
          <w:szCs w:val="20"/>
        </w:rPr>
        <w:t>07</w:t>
      </w:r>
      <w:r w:rsidR="001A1FC8" w:rsidRPr="000572AB">
        <w:rPr>
          <w:rFonts w:ascii="Times New Roman" w:hAnsi="Times New Roman"/>
          <w:sz w:val="20"/>
          <w:szCs w:val="20"/>
        </w:rPr>
        <w:t xml:space="preserve"> тис. грн.</w:t>
      </w:r>
      <w:r w:rsidR="006F3BEA" w:rsidRPr="000572AB">
        <w:rPr>
          <w:rFonts w:ascii="Times New Roman" w:hAnsi="Times New Roman"/>
          <w:sz w:val="20"/>
          <w:szCs w:val="20"/>
        </w:rPr>
        <w:t>(82тис. грн. у 2016 році);</w:t>
      </w:r>
    </w:p>
    <w:p w:rsidR="006F3BEA" w:rsidRPr="000572AB" w:rsidRDefault="001A1FC8" w:rsidP="00D542E2">
      <w:pPr>
        <w:pStyle w:val="a2"/>
        <w:numPr>
          <w:ilvl w:val="0"/>
          <w:numId w:val="3"/>
        </w:numPr>
        <w:spacing w:after="0" w:line="240" w:lineRule="auto"/>
        <w:jc w:val="both"/>
        <w:rPr>
          <w:rFonts w:ascii="Times New Roman" w:hAnsi="Times New Roman"/>
          <w:sz w:val="20"/>
          <w:szCs w:val="20"/>
        </w:rPr>
      </w:pPr>
      <w:r w:rsidRPr="000572AB">
        <w:rPr>
          <w:rFonts w:ascii="Times New Roman" w:hAnsi="Times New Roman"/>
          <w:sz w:val="20"/>
          <w:szCs w:val="20"/>
        </w:rPr>
        <w:t xml:space="preserve">зобов’язань з податків і зборів – </w:t>
      </w:r>
      <w:r w:rsidR="00C425DC" w:rsidRPr="000572AB">
        <w:rPr>
          <w:rFonts w:ascii="Times New Roman" w:hAnsi="Times New Roman"/>
          <w:sz w:val="20"/>
          <w:szCs w:val="20"/>
        </w:rPr>
        <w:t>1</w:t>
      </w:r>
      <w:r w:rsidR="000C1F92" w:rsidRPr="000572AB">
        <w:rPr>
          <w:rFonts w:ascii="Times New Roman" w:hAnsi="Times New Roman"/>
          <w:sz w:val="20"/>
          <w:szCs w:val="20"/>
        </w:rPr>
        <w:t>6</w:t>
      </w:r>
      <w:r w:rsidR="007275A4" w:rsidRPr="000572AB">
        <w:rPr>
          <w:rFonts w:ascii="Times New Roman" w:hAnsi="Times New Roman"/>
          <w:sz w:val="20"/>
          <w:szCs w:val="20"/>
        </w:rPr>
        <w:t>5</w:t>
      </w:r>
      <w:r w:rsidRPr="000572AB">
        <w:rPr>
          <w:rFonts w:ascii="Times New Roman" w:hAnsi="Times New Roman"/>
          <w:sz w:val="20"/>
          <w:szCs w:val="20"/>
        </w:rPr>
        <w:t xml:space="preserve"> тис. грн.</w:t>
      </w:r>
      <w:r w:rsidR="00D609E9" w:rsidRPr="000572AB">
        <w:rPr>
          <w:rFonts w:ascii="Times New Roman" w:hAnsi="Times New Roman"/>
          <w:sz w:val="20"/>
          <w:szCs w:val="20"/>
        </w:rPr>
        <w:t xml:space="preserve"> з них</w:t>
      </w:r>
      <w:r w:rsidR="006F3BEA" w:rsidRPr="000572AB">
        <w:rPr>
          <w:rFonts w:ascii="Times New Roman" w:hAnsi="Times New Roman"/>
          <w:sz w:val="20"/>
          <w:szCs w:val="20"/>
        </w:rPr>
        <w:t xml:space="preserve"> (</w:t>
      </w:r>
      <w:r w:rsidR="00BC520E" w:rsidRPr="000572AB">
        <w:rPr>
          <w:rFonts w:ascii="Times New Roman" w:hAnsi="Times New Roman"/>
          <w:sz w:val="20"/>
          <w:szCs w:val="20"/>
        </w:rPr>
        <w:t>137</w:t>
      </w:r>
      <w:r w:rsidR="006F3BEA" w:rsidRPr="000572AB">
        <w:rPr>
          <w:rFonts w:ascii="Times New Roman" w:hAnsi="Times New Roman"/>
          <w:sz w:val="20"/>
          <w:szCs w:val="20"/>
        </w:rPr>
        <w:t>тис грн. у 2016 році);</w:t>
      </w:r>
    </w:p>
    <w:p w:rsidR="00BC520E" w:rsidRPr="000572AB" w:rsidRDefault="00B341A0" w:rsidP="00D542E2">
      <w:pPr>
        <w:pStyle w:val="a2"/>
        <w:numPr>
          <w:ilvl w:val="0"/>
          <w:numId w:val="3"/>
        </w:numPr>
        <w:spacing w:after="0" w:line="240" w:lineRule="auto"/>
        <w:jc w:val="both"/>
        <w:rPr>
          <w:rFonts w:ascii="Times New Roman" w:hAnsi="Times New Roman"/>
          <w:sz w:val="20"/>
          <w:szCs w:val="20"/>
        </w:rPr>
      </w:pPr>
      <w:r w:rsidRPr="000572AB">
        <w:rPr>
          <w:rFonts w:ascii="Times New Roman" w:hAnsi="Times New Roman"/>
          <w:sz w:val="20"/>
          <w:szCs w:val="20"/>
        </w:rPr>
        <w:t xml:space="preserve">зобов’язань з податку на прибуток – </w:t>
      </w:r>
      <w:r w:rsidR="007275A4" w:rsidRPr="000572AB">
        <w:rPr>
          <w:rFonts w:ascii="Times New Roman" w:hAnsi="Times New Roman"/>
          <w:sz w:val="20"/>
          <w:szCs w:val="20"/>
        </w:rPr>
        <w:t>7</w:t>
      </w:r>
      <w:r w:rsidRPr="000572AB">
        <w:rPr>
          <w:rFonts w:ascii="Times New Roman" w:hAnsi="Times New Roman"/>
          <w:sz w:val="20"/>
          <w:szCs w:val="20"/>
        </w:rPr>
        <w:t>9 тис. грн</w:t>
      </w:r>
      <w:r w:rsidR="00BC520E" w:rsidRPr="000572AB">
        <w:rPr>
          <w:rFonts w:ascii="Times New Roman" w:hAnsi="Times New Roman"/>
          <w:sz w:val="20"/>
          <w:szCs w:val="20"/>
        </w:rPr>
        <w:t xml:space="preserve"> (64тис грн. у 2016 році);</w:t>
      </w:r>
    </w:p>
    <w:p w:rsidR="00BC520E" w:rsidRPr="000572AB" w:rsidRDefault="00433FD7" w:rsidP="00D542E2">
      <w:pPr>
        <w:pStyle w:val="a2"/>
        <w:numPr>
          <w:ilvl w:val="0"/>
          <w:numId w:val="3"/>
        </w:numPr>
        <w:spacing w:after="0" w:line="240" w:lineRule="auto"/>
        <w:jc w:val="both"/>
        <w:rPr>
          <w:rFonts w:ascii="Times New Roman" w:hAnsi="Times New Roman"/>
          <w:sz w:val="20"/>
          <w:szCs w:val="20"/>
        </w:rPr>
      </w:pPr>
      <w:r w:rsidRPr="000572AB">
        <w:rPr>
          <w:rFonts w:ascii="Times New Roman" w:hAnsi="Times New Roman"/>
          <w:sz w:val="20"/>
          <w:szCs w:val="20"/>
        </w:rPr>
        <w:t>з</w:t>
      </w:r>
      <w:r w:rsidR="001A1FC8" w:rsidRPr="000572AB">
        <w:rPr>
          <w:rFonts w:ascii="Times New Roman" w:hAnsi="Times New Roman"/>
          <w:sz w:val="20"/>
          <w:szCs w:val="20"/>
        </w:rPr>
        <w:t xml:space="preserve">обов’язань з інших податків і зборів – </w:t>
      </w:r>
      <w:r w:rsidR="007275A4" w:rsidRPr="000572AB">
        <w:rPr>
          <w:rFonts w:ascii="Times New Roman" w:hAnsi="Times New Roman"/>
          <w:sz w:val="20"/>
          <w:szCs w:val="20"/>
        </w:rPr>
        <w:t>86</w:t>
      </w:r>
      <w:r w:rsidR="00496495" w:rsidRPr="000572AB">
        <w:rPr>
          <w:rFonts w:ascii="Times New Roman" w:hAnsi="Times New Roman"/>
          <w:sz w:val="20"/>
          <w:szCs w:val="20"/>
        </w:rPr>
        <w:t xml:space="preserve"> </w:t>
      </w:r>
      <w:r w:rsidR="001A1FC8" w:rsidRPr="000572AB">
        <w:rPr>
          <w:rFonts w:ascii="Times New Roman" w:hAnsi="Times New Roman"/>
          <w:sz w:val="20"/>
          <w:szCs w:val="20"/>
        </w:rPr>
        <w:t>тис. грн.</w:t>
      </w:r>
      <w:r w:rsidR="00BC520E" w:rsidRPr="000572AB">
        <w:rPr>
          <w:rFonts w:ascii="Times New Roman" w:hAnsi="Times New Roman"/>
          <w:sz w:val="20"/>
          <w:szCs w:val="20"/>
        </w:rPr>
        <w:t xml:space="preserve"> (73тис грн. у 2016 році);</w:t>
      </w:r>
    </w:p>
    <w:p w:rsidR="00BC520E" w:rsidRPr="000572AB" w:rsidRDefault="007275A4" w:rsidP="00D542E2">
      <w:pPr>
        <w:pStyle w:val="a2"/>
        <w:spacing w:after="0" w:line="240" w:lineRule="auto"/>
        <w:ind w:left="720"/>
        <w:jc w:val="both"/>
        <w:rPr>
          <w:rFonts w:ascii="Times New Roman" w:hAnsi="Times New Roman"/>
          <w:sz w:val="20"/>
          <w:szCs w:val="20"/>
        </w:rPr>
      </w:pPr>
      <w:r w:rsidRPr="000572AB">
        <w:rPr>
          <w:rFonts w:ascii="Times New Roman" w:hAnsi="Times New Roman"/>
          <w:sz w:val="20"/>
          <w:szCs w:val="20"/>
        </w:rPr>
        <w:t>на надання позик 10 885 тис. грн. т</w:t>
      </w:r>
      <w:r w:rsidR="00BC520E" w:rsidRPr="000572AB">
        <w:rPr>
          <w:rFonts w:ascii="Times New Roman" w:hAnsi="Times New Roman"/>
          <w:sz w:val="20"/>
          <w:szCs w:val="20"/>
        </w:rPr>
        <w:t>а</w:t>
      </w:r>
      <w:r w:rsidRPr="000572AB">
        <w:rPr>
          <w:rFonts w:ascii="Times New Roman" w:hAnsi="Times New Roman"/>
          <w:sz w:val="20"/>
          <w:szCs w:val="20"/>
        </w:rPr>
        <w:t xml:space="preserve"> на оплату страхових контрактів – 12 тис. грн.</w:t>
      </w:r>
      <w:r w:rsidR="00BC520E" w:rsidRPr="000572AB">
        <w:rPr>
          <w:rFonts w:ascii="Times New Roman" w:hAnsi="Times New Roman"/>
          <w:sz w:val="20"/>
          <w:szCs w:val="20"/>
        </w:rPr>
        <w:t xml:space="preserve">  (12 802 тис грн. у 2016 році);</w:t>
      </w:r>
    </w:p>
    <w:p w:rsidR="00002BC4" w:rsidRPr="000572AB" w:rsidRDefault="00601497" w:rsidP="00D542E2">
      <w:pPr>
        <w:pStyle w:val="a2"/>
        <w:spacing w:after="0" w:line="240" w:lineRule="auto"/>
        <w:ind w:firstLine="360"/>
        <w:jc w:val="both"/>
        <w:rPr>
          <w:rFonts w:ascii="Times New Roman" w:hAnsi="Times New Roman"/>
          <w:sz w:val="20"/>
          <w:szCs w:val="20"/>
        </w:rPr>
      </w:pPr>
      <w:r w:rsidRPr="000572AB">
        <w:rPr>
          <w:rFonts w:ascii="Times New Roman" w:hAnsi="Times New Roman"/>
          <w:sz w:val="20"/>
          <w:szCs w:val="20"/>
        </w:rPr>
        <w:t>-</w:t>
      </w:r>
      <w:r w:rsidRPr="000572AB">
        <w:rPr>
          <w:rFonts w:ascii="Times New Roman" w:hAnsi="Times New Roman"/>
          <w:sz w:val="20"/>
          <w:szCs w:val="20"/>
        </w:rPr>
        <w:tab/>
      </w:r>
      <w:r w:rsidR="007275A4" w:rsidRPr="000572AB">
        <w:rPr>
          <w:rFonts w:ascii="Times New Roman" w:hAnsi="Times New Roman"/>
          <w:sz w:val="20"/>
          <w:szCs w:val="20"/>
        </w:rPr>
        <w:t>на</w:t>
      </w:r>
      <w:r w:rsidR="009360BE" w:rsidRPr="000572AB">
        <w:rPr>
          <w:rFonts w:ascii="Times New Roman" w:hAnsi="Times New Roman"/>
          <w:sz w:val="20"/>
          <w:szCs w:val="20"/>
        </w:rPr>
        <w:t xml:space="preserve">  </w:t>
      </w:r>
      <w:r w:rsidR="001A1FC8" w:rsidRPr="000572AB">
        <w:rPr>
          <w:rFonts w:ascii="Times New Roman" w:hAnsi="Times New Roman"/>
          <w:sz w:val="20"/>
          <w:szCs w:val="20"/>
        </w:rPr>
        <w:t xml:space="preserve">інші витрачання – </w:t>
      </w:r>
      <w:r w:rsidR="007275A4" w:rsidRPr="000572AB">
        <w:rPr>
          <w:rFonts w:ascii="Times New Roman" w:hAnsi="Times New Roman"/>
          <w:sz w:val="20"/>
          <w:szCs w:val="20"/>
        </w:rPr>
        <w:t xml:space="preserve">118 </w:t>
      </w:r>
      <w:r w:rsidR="00B341A0" w:rsidRPr="000572AB">
        <w:rPr>
          <w:rFonts w:ascii="Times New Roman" w:hAnsi="Times New Roman"/>
          <w:sz w:val="20"/>
          <w:szCs w:val="20"/>
        </w:rPr>
        <w:t>658</w:t>
      </w:r>
      <w:r w:rsidR="001A1FC8" w:rsidRPr="000572AB">
        <w:rPr>
          <w:rFonts w:ascii="Times New Roman" w:hAnsi="Times New Roman"/>
          <w:sz w:val="20"/>
          <w:szCs w:val="20"/>
        </w:rPr>
        <w:t xml:space="preserve"> тис. грн.</w:t>
      </w:r>
      <w:r w:rsidR="00002BC4" w:rsidRPr="000572AB">
        <w:rPr>
          <w:rFonts w:ascii="Times New Roman" w:hAnsi="Times New Roman"/>
          <w:sz w:val="20"/>
          <w:szCs w:val="20"/>
        </w:rPr>
        <w:t xml:space="preserve"> </w:t>
      </w:r>
      <w:r w:rsidR="00055CC5" w:rsidRPr="000572AB">
        <w:rPr>
          <w:rFonts w:ascii="Times New Roman" w:hAnsi="Times New Roman"/>
          <w:sz w:val="20"/>
          <w:szCs w:val="20"/>
        </w:rPr>
        <w:t>, а саме:</w:t>
      </w:r>
    </w:p>
    <w:p w:rsidR="00055CC5" w:rsidRPr="000572AB" w:rsidRDefault="00055CC5" w:rsidP="00D542E2">
      <w:pPr>
        <w:pStyle w:val="af7"/>
        <w:numPr>
          <w:ilvl w:val="0"/>
          <w:numId w:val="19"/>
        </w:numPr>
        <w:rPr>
          <w:rFonts w:ascii="Times New Roman" w:hAnsi="Times New Roman" w:cs="Times New Roman"/>
          <w:sz w:val="20"/>
          <w:szCs w:val="20"/>
          <w:lang w:val="uk-UA"/>
        </w:rPr>
      </w:pPr>
      <w:r w:rsidRPr="000572AB">
        <w:rPr>
          <w:rFonts w:ascii="Times New Roman" w:hAnsi="Times New Roman" w:cs="Times New Roman"/>
          <w:sz w:val="20"/>
          <w:szCs w:val="20"/>
          <w:lang w:val="uk-UA"/>
        </w:rPr>
        <w:t xml:space="preserve">оплата за відступлене право вимоги – </w:t>
      </w:r>
      <w:r w:rsidR="007275A4" w:rsidRPr="000572AB">
        <w:rPr>
          <w:rFonts w:ascii="Times New Roman" w:hAnsi="Times New Roman" w:cs="Times New Roman"/>
          <w:sz w:val="20"/>
          <w:szCs w:val="20"/>
          <w:lang w:val="uk-UA"/>
        </w:rPr>
        <w:t>115 478</w:t>
      </w:r>
      <w:r w:rsidRPr="000572AB">
        <w:rPr>
          <w:rFonts w:ascii="Times New Roman" w:hAnsi="Times New Roman" w:cs="Times New Roman"/>
          <w:sz w:val="20"/>
          <w:szCs w:val="20"/>
          <w:lang w:val="uk-UA"/>
        </w:rPr>
        <w:t> тис. грн.;</w:t>
      </w:r>
    </w:p>
    <w:p w:rsidR="00055CC5" w:rsidRPr="000572AB" w:rsidRDefault="00055CC5" w:rsidP="00D542E2">
      <w:pPr>
        <w:pStyle w:val="af7"/>
        <w:numPr>
          <w:ilvl w:val="0"/>
          <w:numId w:val="19"/>
        </w:numPr>
        <w:rPr>
          <w:rFonts w:ascii="Times New Roman" w:hAnsi="Times New Roman" w:cs="Times New Roman"/>
          <w:sz w:val="20"/>
          <w:szCs w:val="20"/>
          <w:lang w:val="uk-UA"/>
        </w:rPr>
      </w:pPr>
      <w:r w:rsidRPr="000572AB">
        <w:rPr>
          <w:rFonts w:ascii="Times New Roman" w:hAnsi="Times New Roman" w:cs="Times New Roman"/>
          <w:sz w:val="20"/>
          <w:szCs w:val="20"/>
          <w:lang w:val="uk-UA"/>
        </w:rPr>
        <w:t xml:space="preserve">оплата </w:t>
      </w:r>
      <w:r w:rsidR="007275A4" w:rsidRPr="000572AB">
        <w:rPr>
          <w:rFonts w:ascii="Times New Roman" w:hAnsi="Times New Roman" w:cs="Times New Roman"/>
          <w:sz w:val="20"/>
          <w:szCs w:val="20"/>
          <w:lang w:val="uk-UA"/>
        </w:rPr>
        <w:t xml:space="preserve">по договору факторингу </w:t>
      </w:r>
      <w:r w:rsidRPr="000572AB">
        <w:rPr>
          <w:rFonts w:ascii="Times New Roman" w:hAnsi="Times New Roman" w:cs="Times New Roman"/>
          <w:sz w:val="20"/>
          <w:szCs w:val="20"/>
          <w:lang w:val="uk-UA"/>
        </w:rPr>
        <w:t xml:space="preserve"> – </w:t>
      </w:r>
      <w:r w:rsidR="007275A4" w:rsidRPr="000572AB">
        <w:rPr>
          <w:rFonts w:ascii="Times New Roman" w:hAnsi="Times New Roman" w:cs="Times New Roman"/>
          <w:sz w:val="20"/>
          <w:szCs w:val="20"/>
          <w:lang w:val="uk-UA"/>
        </w:rPr>
        <w:t>3 000</w:t>
      </w:r>
      <w:r w:rsidRPr="000572AB">
        <w:rPr>
          <w:rFonts w:ascii="Times New Roman" w:hAnsi="Times New Roman" w:cs="Times New Roman"/>
          <w:sz w:val="20"/>
          <w:szCs w:val="20"/>
          <w:lang w:val="uk-UA"/>
        </w:rPr>
        <w:t xml:space="preserve"> тис.  грн.</w:t>
      </w:r>
    </w:p>
    <w:p w:rsidR="00280F38" w:rsidRPr="000572AB" w:rsidRDefault="001A1FC8" w:rsidP="00D542E2">
      <w:pPr>
        <w:pStyle w:val="a2"/>
        <w:spacing w:after="0" w:line="240" w:lineRule="auto"/>
        <w:jc w:val="both"/>
        <w:rPr>
          <w:rFonts w:ascii="Times New Roman" w:hAnsi="Times New Roman"/>
          <w:sz w:val="20"/>
          <w:szCs w:val="20"/>
        </w:rPr>
      </w:pPr>
      <w:r w:rsidRPr="000572AB">
        <w:rPr>
          <w:rFonts w:ascii="Times New Roman" w:hAnsi="Times New Roman"/>
          <w:b/>
          <w:sz w:val="20"/>
          <w:szCs w:val="20"/>
        </w:rPr>
        <w:t>Чистий рух</w:t>
      </w:r>
      <w:r w:rsidRPr="000572AB">
        <w:rPr>
          <w:rFonts w:ascii="Times New Roman" w:hAnsi="Times New Roman"/>
          <w:sz w:val="20"/>
          <w:szCs w:val="20"/>
        </w:rPr>
        <w:t xml:space="preserve"> грошових коштів (</w:t>
      </w:r>
      <w:r w:rsidR="007275A4" w:rsidRPr="000572AB">
        <w:rPr>
          <w:rFonts w:ascii="Times New Roman" w:hAnsi="Times New Roman"/>
          <w:sz w:val="20"/>
          <w:szCs w:val="20"/>
        </w:rPr>
        <w:t>надходження</w:t>
      </w:r>
      <w:r w:rsidRPr="000572AB">
        <w:rPr>
          <w:rFonts w:ascii="Times New Roman" w:hAnsi="Times New Roman"/>
          <w:sz w:val="20"/>
          <w:szCs w:val="20"/>
        </w:rPr>
        <w:t xml:space="preserve">) </w:t>
      </w:r>
      <w:r w:rsidR="00BC520E" w:rsidRPr="000572AB">
        <w:rPr>
          <w:rFonts w:ascii="Times New Roman" w:hAnsi="Times New Roman"/>
          <w:sz w:val="20"/>
          <w:szCs w:val="20"/>
        </w:rPr>
        <w:t xml:space="preserve">від операційної діяльності </w:t>
      </w:r>
      <w:r w:rsidRPr="000572AB">
        <w:rPr>
          <w:rFonts w:ascii="Times New Roman" w:hAnsi="Times New Roman"/>
          <w:sz w:val="20"/>
          <w:szCs w:val="20"/>
        </w:rPr>
        <w:t>за 201</w:t>
      </w:r>
      <w:r w:rsidR="00B341A0" w:rsidRPr="000572AB">
        <w:rPr>
          <w:rFonts w:ascii="Times New Roman" w:hAnsi="Times New Roman"/>
          <w:sz w:val="20"/>
          <w:szCs w:val="20"/>
        </w:rPr>
        <w:t>7</w:t>
      </w:r>
      <w:r w:rsidRPr="000572AB">
        <w:rPr>
          <w:rFonts w:ascii="Times New Roman" w:hAnsi="Times New Roman"/>
          <w:sz w:val="20"/>
          <w:szCs w:val="20"/>
        </w:rPr>
        <w:t xml:space="preserve"> рік становить </w:t>
      </w:r>
      <w:r w:rsidR="00D609E9" w:rsidRPr="000572AB">
        <w:rPr>
          <w:rFonts w:ascii="Times New Roman" w:hAnsi="Times New Roman"/>
          <w:sz w:val="20"/>
          <w:szCs w:val="20"/>
        </w:rPr>
        <w:t xml:space="preserve">- </w:t>
      </w:r>
      <w:r w:rsidR="00601497" w:rsidRPr="000572AB">
        <w:rPr>
          <w:rFonts w:ascii="Times New Roman" w:hAnsi="Times New Roman"/>
          <w:sz w:val="20"/>
          <w:szCs w:val="20"/>
        </w:rPr>
        <w:t xml:space="preserve"> </w:t>
      </w:r>
      <w:r w:rsidR="007275A4" w:rsidRPr="000572AB">
        <w:rPr>
          <w:rFonts w:ascii="Times New Roman" w:hAnsi="Times New Roman"/>
          <w:sz w:val="20"/>
          <w:szCs w:val="20"/>
        </w:rPr>
        <w:t>91 735</w:t>
      </w:r>
      <w:r w:rsidR="00280F38" w:rsidRPr="000572AB">
        <w:rPr>
          <w:rFonts w:ascii="Times New Roman" w:hAnsi="Times New Roman"/>
          <w:sz w:val="20"/>
          <w:szCs w:val="20"/>
        </w:rPr>
        <w:t xml:space="preserve"> тис. грн.</w:t>
      </w:r>
      <w:r w:rsidR="00BC520E" w:rsidRPr="000572AB">
        <w:rPr>
          <w:rFonts w:ascii="Times New Roman" w:hAnsi="Times New Roman"/>
          <w:sz w:val="20"/>
          <w:szCs w:val="20"/>
        </w:rPr>
        <w:t xml:space="preserve"> За 2016 рік таки</w:t>
      </w:r>
      <w:r w:rsidR="007E1EB9" w:rsidRPr="000572AB">
        <w:rPr>
          <w:rFonts w:ascii="Times New Roman" w:hAnsi="Times New Roman"/>
          <w:sz w:val="20"/>
          <w:szCs w:val="20"/>
        </w:rPr>
        <w:t>й рух становив 14 280 тис. грн.</w:t>
      </w:r>
    </w:p>
    <w:p w:rsidR="00777E42" w:rsidRPr="000572AB" w:rsidRDefault="00777E42" w:rsidP="00D542E2">
      <w:pPr>
        <w:pStyle w:val="a2"/>
        <w:spacing w:after="0" w:line="240" w:lineRule="auto"/>
        <w:ind w:left="720"/>
        <w:jc w:val="both"/>
        <w:rPr>
          <w:rFonts w:ascii="Times New Roman" w:hAnsi="Times New Roman"/>
          <w:sz w:val="20"/>
          <w:szCs w:val="20"/>
        </w:rPr>
      </w:pPr>
    </w:p>
    <w:p w:rsidR="007818CF" w:rsidRPr="000572AB" w:rsidRDefault="008377A0" w:rsidP="00D542E2">
      <w:pPr>
        <w:pStyle w:val="2"/>
        <w:numPr>
          <w:ilvl w:val="0"/>
          <w:numId w:val="0"/>
        </w:numPr>
        <w:spacing w:before="0" w:after="0"/>
        <w:ind w:firstLine="709"/>
        <w:jc w:val="both"/>
        <w:rPr>
          <w:sz w:val="20"/>
          <w:szCs w:val="20"/>
          <w:lang w:val="uk-UA"/>
        </w:rPr>
      </w:pPr>
      <w:r w:rsidRPr="000572AB">
        <w:rPr>
          <w:sz w:val="20"/>
          <w:szCs w:val="20"/>
          <w:lang w:val="uk-UA"/>
        </w:rPr>
        <w:lastRenderedPageBreak/>
        <w:t>2</w:t>
      </w:r>
      <w:r w:rsidR="00777E42" w:rsidRPr="000572AB">
        <w:rPr>
          <w:sz w:val="20"/>
          <w:szCs w:val="20"/>
          <w:lang w:val="uk-UA"/>
        </w:rPr>
        <w:t>0</w:t>
      </w:r>
      <w:r w:rsidR="007818CF" w:rsidRPr="000572AB">
        <w:rPr>
          <w:sz w:val="20"/>
          <w:szCs w:val="20"/>
          <w:lang w:val="uk-UA"/>
        </w:rPr>
        <w:t>.2. Рух коштів у результаті інвестиційної  діяльності</w:t>
      </w:r>
    </w:p>
    <w:p w:rsidR="007818CF" w:rsidRPr="000572AB" w:rsidRDefault="007818CF" w:rsidP="00D542E2">
      <w:pPr>
        <w:pStyle w:val="a7"/>
        <w:spacing w:before="0" w:beforeAutospacing="0" w:after="0" w:afterAutospacing="0"/>
        <w:ind w:firstLine="709"/>
        <w:contextualSpacing/>
        <w:jc w:val="both"/>
        <w:rPr>
          <w:sz w:val="20"/>
          <w:szCs w:val="20"/>
        </w:rPr>
      </w:pPr>
      <w:r w:rsidRPr="000572AB">
        <w:rPr>
          <w:sz w:val="20"/>
          <w:szCs w:val="20"/>
        </w:rPr>
        <w:t>Інвестиційна діяльність - це цілеспрямовано здійснюваний процес формування необхідних інвестиційних ресурсів, збалансований відповідно до обраних параметрів інвестиційної програми (інвестиційного портфеля) на основі вибору ефективних об'єктів інвестування та забезпечення їх реалізації.</w:t>
      </w:r>
    </w:p>
    <w:p w:rsidR="007275A4" w:rsidRPr="000572AB" w:rsidRDefault="007275A4" w:rsidP="00D542E2">
      <w:pPr>
        <w:pStyle w:val="a2"/>
        <w:spacing w:after="0" w:line="240" w:lineRule="auto"/>
        <w:contextualSpacing/>
        <w:jc w:val="both"/>
        <w:rPr>
          <w:rFonts w:ascii="Times New Roman" w:eastAsia="Times New Roman" w:hAnsi="Times New Roman"/>
          <w:sz w:val="20"/>
          <w:szCs w:val="20"/>
          <w:lang w:eastAsia="ru-RU"/>
        </w:rPr>
      </w:pPr>
    </w:p>
    <w:p w:rsidR="003361ED" w:rsidRPr="000572AB" w:rsidRDefault="003361ED" w:rsidP="00D542E2">
      <w:pPr>
        <w:pStyle w:val="a2"/>
        <w:spacing w:after="0" w:line="240" w:lineRule="auto"/>
        <w:contextualSpacing/>
        <w:jc w:val="both"/>
        <w:rPr>
          <w:rFonts w:ascii="Times New Roman" w:eastAsia="Times New Roman" w:hAnsi="Times New Roman"/>
          <w:sz w:val="20"/>
          <w:szCs w:val="20"/>
          <w:lang w:eastAsia="ru-RU"/>
        </w:rPr>
      </w:pPr>
      <w:r w:rsidRPr="000572AB">
        <w:rPr>
          <w:rFonts w:ascii="Times New Roman" w:eastAsia="Times New Roman" w:hAnsi="Times New Roman"/>
          <w:b/>
          <w:sz w:val="20"/>
          <w:szCs w:val="20"/>
          <w:lang w:eastAsia="ru-RU"/>
        </w:rPr>
        <w:t xml:space="preserve">Надходження </w:t>
      </w:r>
      <w:r w:rsidRPr="000572AB">
        <w:rPr>
          <w:rFonts w:ascii="Times New Roman" w:eastAsia="Times New Roman" w:hAnsi="Times New Roman"/>
          <w:sz w:val="20"/>
          <w:szCs w:val="20"/>
          <w:lang w:eastAsia="ru-RU"/>
        </w:rPr>
        <w:t>від інвестиційної діяльності  за 201</w:t>
      </w:r>
      <w:r w:rsidR="00B341A0" w:rsidRPr="000572AB">
        <w:rPr>
          <w:rFonts w:ascii="Times New Roman" w:eastAsia="Times New Roman" w:hAnsi="Times New Roman"/>
          <w:sz w:val="20"/>
          <w:szCs w:val="20"/>
          <w:lang w:eastAsia="ru-RU"/>
        </w:rPr>
        <w:t>7</w:t>
      </w:r>
      <w:r w:rsidRPr="000572AB">
        <w:rPr>
          <w:rFonts w:ascii="Times New Roman" w:eastAsia="Times New Roman" w:hAnsi="Times New Roman"/>
          <w:sz w:val="20"/>
          <w:szCs w:val="20"/>
          <w:lang w:eastAsia="ru-RU"/>
        </w:rPr>
        <w:t xml:space="preserve"> рік складають:</w:t>
      </w:r>
    </w:p>
    <w:p w:rsidR="00BC520E" w:rsidRPr="000572AB" w:rsidRDefault="003361ED" w:rsidP="00D542E2">
      <w:pPr>
        <w:pStyle w:val="a2"/>
        <w:numPr>
          <w:ilvl w:val="0"/>
          <w:numId w:val="3"/>
        </w:numPr>
        <w:spacing w:after="0" w:line="240" w:lineRule="auto"/>
        <w:jc w:val="both"/>
        <w:rPr>
          <w:rFonts w:ascii="Times New Roman" w:hAnsi="Times New Roman"/>
          <w:sz w:val="20"/>
          <w:szCs w:val="20"/>
        </w:rPr>
      </w:pPr>
      <w:r w:rsidRPr="000572AB">
        <w:rPr>
          <w:rFonts w:ascii="Times New Roman" w:eastAsia="Times New Roman" w:hAnsi="Times New Roman"/>
          <w:sz w:val="20"/>
          <w:szCs w:val="20"/>
          <w:lang w:eastAsia="ru-RU"/>
        </w:rPr>
        <w:t xml:space="preserve">від </w:t>
      </w:r>
      <w:r w:rsidR="007275A4" w:rsidRPr="000572AB">
        <w:rPr>
          <w:rFonts w:ascii="Times New Roman" w:eastAsia="Times New Roman" w:hAnsi="Times New Roman"/>
          <w:sz w:val="20"/>
          <w:szCs w:val="20"/>
          <w:lang w:eastAsia="ru-RU"/>
        </w:rPr>
        <w:t>реалізації фінансових інвестицій (</w:t>
      </w:r>
      <w:r w:rsidRPr="000572AB">
        <w:rPr>
          <w:rFonts w:ascii="Times New Roman" w:eastAsia="Times New Roman" w:hAnsi="Times New Roman"/>
          <w:sz w:val="20"/>
          <w:szCs w:val="20"/>
          <w:lang w:eastAsia="ru-RU"/>
        </w:rPr>
        <w:t>продаж</w:t>
      </w:r>
      <w:r w:rsidR="007275A4" w:rsidRPr="000572AB">
        <w:rPr>
          <w:rFonts w:ascii="Times New Roman" w:eastAsia="Times New Roman" w:hAnsi="Times New Roman"/>
          <w:sz w:val="20"/>
          <w:szCs w:val="20"/>
          <w:lang w:eastAsia="ru-RU"/>
        </w:rPr>
        <w:t xml:space="preserve"> цінних паперів)</w:t>
      </w:r>
      <w:r w:rsidRPr="000572AB">
        <w:rPr>
          <w:rFonts w:ascii="Times New Roman" w:eastAsia="Times New Roman" w:hAnsi="Times New Roman"/>
          <w:sz w:val="20"/>
          <w:szCs w:val="20"/>
          <w:lang w:eastAsia="ru-RU"/>
        </w:rPr>
        <w:t xml:space="preserve"> – </w:t>
      </w:r>
      <w:r w:rsidR="007275A4" w:rsidRPr="000572AB">
        <w:rPr>
          <w:rFonts w:ascii="Times New Roman" w:eastAsia="Times New Roman" w:hAnsi="Times New Roman"/>
          <w:sz w:val="20"/>
          <w:szCs w:val="20"/>
          <w:lang w:eastAsia="ru-RU"/>
        </w:rPr>
        <w:t>122 733</w:t>
      </w:r>
      <w:r w:rsidRPr="000572AB">
        <w:rPr>
          <w:rFonts w:ascii="Times New Roman" w:eastAsia="Times New Roman" w:hAnsi="Times New Roman"/>
          <w:sz w:val="20"/>
          <w:szCs w:val="20"/>
          <w:lang w:eastAsia="ru-RU"/>
        </w:rPr>
        <w:t xml:space="preserve"> тис. грн.</w:t>
      </w:r>
      <w:r w:rsidR="00BC520E" w:rsidRPr="000572AB">
        <w:rPr>
          <w:rFonts w:ascii="Times New Roman" w:eastAsia="Times New Roman" w:hAnsi="Times New Roman"/>
          <w:sz w:val="20"/>
          <w:szCs w:val="20"/>
          <w:lang w:eastAsia="ru-RU"/>
        </w:rPr>
        <w:t xml:space="preserve"> </w:t>
      </w:r>
      <w:r w:rsidR="00BC520E" w:rsidRPr="000572AB">
        <w:rPr>
          <w:rFonts w:ascii="Times New Roman" w:hAnsi="Times New Roman"/>
          <w:sz w:val="20"/>
          <w:szCs w:val="20"/>
        </w:rPr>
        <w:t>(176830тис грн. у 2016 році);</w:t>
      </w:r>
    </w:p>
    <w:p w:rsidR="00BC520E" w:rsidRPr="000572AB" w:rsidRDefault="007275A4" w:rsidP="00D542E2">
      <w:pPr>
        <w:pStyle w:val="a2"/>
        <w:numPr>
          <w:ilvl w:val="0"/>
          <w:numId w:val="3"/>
        </w:numPr>
        <w:spacing w:after="0" w:line="240" w:lineRule="auto"/>
        <w:jc w:val="both"/>
        <w:rPr>
          <w:rFonts w:ascii="Times New Roman" w:hAnsi="Times New Roman"/>
          <w:sz w:val="20"/>
          <w:szCs w:val="20"/>
        </w:rPr>
      </w:pPr>
      <w:r w:rsidRPr="000572AB">
        <w:rPr>
          <w:rFonts w:ascii="Times New Roman" w:eastAsia="Times New Roman" w:hAnsi="Times New Roman"/>
          <w:sz w:val="20"/>
          <w:szCs w:val="20"/>
          <w:lang w:eastAsia="ru-RU"/>
        </w:rPr>
        <w:t>від отриманих відсотків по борговим ЦП  491 тис.</w:t>
      </w:r>
      <w:r w:rsidR="003361ED" w:rsidRPr="000572AB">
        <w:rPr>
          <w:rFonts w:ascii="Times New Roman" w:eastAsia="Times New Roman" w:hAnsi="Times New Roman"/>
          <w:sz w:val="20"/>
          <w:szCs w:val="20"/>
          <w:lang w:eastAsia="ru-RU"/>
        </w:rPr>
        <w:t xml:space="preserve"> грн</w:t>
      </w:r>
      <w:r w:rsidR="00BC520E" w:rsidRPr="000572AB">
        <w:rPr>
          <w:rFonts w:ascii="Times New Roman" w:eastAsia="Times New Roman" w:hAnsi="Times New Roman"/>
          <w:sz w:val="20"/>
          <w:szCs w:val="20"/>
          <w:lang w:eastAsia="ru-RU"/>
        </w:rPr>
        <w:t>.</w:t>
      </w:r>
      <w:r w:rsidR="00BC520E" w:rsidRPr="000572AB">
        <w:rPr>
          <w:rFonts w:ascii="Times New Roman" w:hAnsi="Times New Roman"/>
          <w:sz w:val="20"/>
          <w:szCs w:val="20"/>
        </w:rPr>
        <w:t>(5 094тис грн. у 2016 році);</w:t>
      </w:r>
    </w:p>
    <w:p w:rsidR="00BC520E" w:rsidRPr="000572AB" w:rsidRDefault="003361ED" w:rsidP="00D542E2">
      <w:pPr>
        <w:pStyle w:val="a2"/>
        <w:spacing w:after="0" w:line="240" w:lineRule="auto"/>
        <w:contextualSpacing/>
        <w:jc w:val="both"/>
        <w:rPr>
          <w:rFonts w:ascii="Times New Roman" w:hAnsi="Times New Roman"/>
          <w:sz w:val="20"/>
          <w:szCs w:val="20"/>
        </w:rPr>
      </w:pPr>
      <w:r w:rsidRPr="000572AB">
        <w:rPr>
          <w:rFonts w:ascii="Times New Roman" w:eastAsia="Times New Roman" w:hAnsi="Times New Roman"/>
          <w:b/>
          <w:sz w:val="20"/>
          <w:szCs w:val="20"/>
          <w:lang w:eastAsia="ru-RU"/>
        </w:rPr>
        <w:t>Витрачання</w:t>
      </w:r>
      <w:r w:rsidRPr="000572AB">
        <w:rPr>
          <w:rFonts w:ascii="Times New Roman" w:eastAsia="Times New Roman" w:hAnsi="Times New Roman"/>
          <w:sz w:val="20"/>
          <w:szCs w:val="20"/>
          <w:lang w:eastAsia="ru-RU"/>
        </w:rPr>
        <w:t xml:space="preserve"> від інвестиційної діяльності за 201</w:t>
      </w:r>
      <w:r w:rsidR="00B341A0" w:rsidRPr="000572AB">
        <w:rPr>
          <w:rFonts w:ascii="Times New Roman" w:eastAsia="Times New Roman" w:hAnsi="Times New Roman"/>
          <w:sz w:val="20"/>
          <w:szCs w:val="20"/>
          <w:lang w:eastAsia="ru-RU"/>
        </w:rPr>
        <w:t>7</w:t>
      </w:r>
      <w:r w:rsidRPr="000572AB">
        <w:rPr>
          <w:rFonts w:ascii="Times New Roman" w:eastAsia="Times New Roman" w:hAnsi="Times New Roman"/>
          <w:sz w:val="20"/>
          <w:szCs w:val="20"/>
          <w:lang w:eastAsia="ru-RU"/>
        </w:rPr>
        <w:t xml:space="preserve"> рік складають</w:t>
      </w:r>
      <w:r w:rsidR="00BC520E" w:rsidRPr="000572AB">
        <w:rPr>
          <w:rFonts w:ascii="Times New Roman" w:eastAsia="Times New Roman" w:hAnsi="Times New Roman"/>
          <w:sz w:val="20"/>
          <w:szCs w:val="20"/>
          <w:lang w:eastAsia="ru-RU"/>
        </w:rPr>
        <w:t xml:space="preserve">ся з </w:t>
      </w:r>
      <w:r w:rsidRPr="000572AB">
        <w:rPr>
          <w:rFonts w:ascii="Times New Roman" w:eastAsia="Times New Roman" w:hAnsi="Times New Roman"/>
          <w:sz w:val="20"/>
          <w:szCs w:val="20"/>
          <w:lang w:eastAsia="ru-RU"/>
        </w:rPr>
        <w:t xml:space="preserve">витрачання  на придбання  </w:t>
      </w:r>
      <w:r w:rsidR="005535BF" w:rsidRPr="000572AB">
        <w:rPr>
          <w:rFonts w:ascii="Times New Roman" w:eastAsia="Times New Roman" w:hAnsi="Times New Roman"/>
          <w:sz w:val="20"/>
          <w:szCs w:val="20"/>
          <w:lang w:eastAsia="ru-RU"/>
        </w:rPr>
        <w:t xml:space="preserve">фінансових інвестицій </w:t>
      </w:r>
      <w:r w:rsidR="00D35FDD" w:rsidRPr="000572AB">
        <w:rPr>
          <w:rFonts w:ascii="Times New Roman" w:eastAsia="Times New Roman" w:hAnsi="Times New Roman"/>
          <w:sz w:val="20"/>
          <w:szCs w:val="20"/>
          <w:lang w:eastAsia="ru-RU"/>
        </w:rPr>
        <w:t xml:space="preserve">209 998 тис. грн. </w:t>
      </w:r>
      <w:r w:rsidR="005535BF" w:rsidRPr="000572AB">
        <w:rPr>
          <w:rFonts w:ascii="Times New Roman" w:eastAsia="Times New Roman" w:hAnsi="Times New Roman"/>
          <w:sz w:val="20"/>
          <w:szCs w:val="20"/>
          <w:lang w:eastAsia="ru-RU"/>
        </w:rPr>
        <w:t>(</w:t>
      </w:r>
      <w:r w:rsidR="00055CC5" w:rsidRPr="000572AB">
        <w:rPr>
          <w:rFonts w:ascii="Times New Roman" w:eastAsia="Times New Roman" w:hAnsi="Times New Roman"/>
          <w:sz w:val="20"/>
          <w:szCs w:val="20"/>
          <w:lang w:eastAsia="ru-RU"/>
        </w:rPr>
        <w:t>за частку в статутному капіталі</w:t>
      </w:r>
      <w:r w:rsidR="00D35FDD" w:rsidRPr="000572AB">
        <w:rPr>
          <w:rFonts w:ascii="Times New Roman" w:eastAsia="Times New Roman" w:hAnsi="Times New Roman"/>
          <w:sz w:val="20"/>
          <w:szCs w:val="20"/>
          <w:lang w:eastAsia="ru-RU"/>
        </w:rPr>
        <w:t xml:space="preserve"> 46 тис. грн., та за цінні папери  - 209 952 тис. грн.</w:t>
      </w:r>
      <w:r w:rsidR="00BC520E" w:rsidRPr="000572AB">
        <w:rPr>
          <w:rFonts w:ascii="Times New Roman" w:eastAsia="Times New Roman" w:hAnsi="Times New Roman"/>
          <w:sz w:val="20"/>
          <w:szCs w:val="20"/>
          <w:lang w:eastAsia="ru-RU"/>
        </w:rPr>
        <w:t xml:space="preserve"> У 2016 році було витрачено </w:t>
      </w:r>
      <w:r w:rsidR="00BC520E" w:rsidRPr="000572AB">
        <w:rPr>
          <w:rFonts w:ascii="Times New Roman" w:hAnsi="Times New Roman"/>
          <w:sz w:val="20"/>
          <w:szCs w:val="20"/>
        </w:rPr>
        <w:t>(263 654 тис грн. на придбання цінних паперів.</w:t>
      </w:r>
    </w:p>
    <w:p w:rsidR="007E1EB9" w:rsidRPr="000572AB" w:rsidRDefault="007E1EB9" w:rsidP="00D542E2">
      <w:pPr>
        <w:pStyle w:val="a2"/>
        <w:spacing w:after="0" w:line="240" w:lineRule="auto"/>
        <w:contextualSpacing/>
        <w:jc w:val="both"/>
        <w:rPr>
          <w:rFonts w:ascii="Times New Roman" w:hAnsi="Times New Roman"/>
          <w:sz w:val="20"/>
          <w:szCs w:val="20"/>
        </w:rPr>
      </w:pPr>
    </w:p>
    <w:p w:rsidR="007818CF" w:rsidRPr="000572AB" w:rsidRDefault="003361ED" w:rsidP="00D542E2">
      <w:pPr>
        <w:pStyle w:val="a2"/>
        <w:spacing w:after="0" w:line="240" w:lineRule="auto"/>
        <w:contextualSpacing/>
        <w:jc w:val="both"/>
        <w:rPr>
          <w:rFonts w:ascii="Times New Roman" w:hAnsi="Times New Roman"/>
          <w:sz w:val="20"/>
          <w:szCs w:val="20"/>
        </w:rPr>
      </w:pPr>
      <w:r w:rsidRPr="000572AB">
        <w:rPr>
          <w:rFonts w:ascii="Times New Roman" w:eastAsia="Times New Roman" w:hAnsi="Times New Roman"/>
          <w:b/>
          <w:sz w:val="20"/>
          <w:szCs w:val="20"/>
          <w:lang w:eastAsia="ru-RU"/>
        </w:rPr>
        <w:t>Чистий рух</w:t>
      </w:r>
      <w:r w:rsidRPr="000572AB">
        <w:rPr>
          <w:rFonts w:ascii="Times New Roman" w:eastAsia="Times New Roman" w:hAnsi="Times New Roman"/>
          <w:sz w:val="20"/>
          <w:szCs w:val="20"/>
          <w:lang w:eastAsia="ru-RU"/>
        </w:rPr>
        <w:t xml:space="preserve"> грошових коштів від інвестиційної  діяльності (</w:t>
      </w:r>
      <w:r w:rsidR="00D35FDD" w:rsidRPr="000572AB">
        <w:rPr>
          <w:rFonts w:ascii="Times New Roman" w:eastAsia="Times New Roman" w:hAnsi="Times New Roman"/>
          <w:sz w:val="20"/>
          <w:szCs w:val="20"/>
          <w:lang w:eastAsia="ru-RU"/>
        </w:rPr>
        <w:t>витрачання</w:t>
      </w:r>
      <w:r w:rsidRPr="000572AB">
        <w:rPr>
          <w:rFonts w:ascii="Times New Roman" w:eastAsia="Times New Roman" w:hAnsi="Times New Roman"/>
          <w:sz w:val="20"/>
          <w:szCs w:val="20"/>
          <w:lang w:eastAsia="ru-RU"/>
        </w:rPr>
        <w:t>) за 201</w:t>
      </w:r>
      <w:r w:rsidR="006F5F35" w:rsidRPr="000572AB">
        <w:rPr>
          <w:rFonts w:ascii="Times New Roman" w:eastAsia="Times New Roman" w:hAnsi="Times New Roman"/>
          <w:sz w:val="20"/>
          <w:szCs w:val="20"/>
          <w:lang w:eastAsia="ru-RU"/>
        </w:rPr>
        <w:t>7</w:t>
      </w:r>
      <w:r w:rsidRPr="000572AB">
        <w:rPr>
          <w:rFonts w:ascii="Times New Roman" w:eastAsia="Times New Roman" w:hAnsi="Times New Roman"/>
          <w:sz w:val="20"/>
          <w:szCs w:val="20"/>
          <w:lang w:eastAsia="ru-RU"/>
        </w:rPr>
        <w:t xml:space="preserve"> рік становить – </w:t>
      </w:r>
      <w:r w:rsidR="00D35FDD" w:rsidRPr="000572AB">
        <w:rPr>
          <w:rFonts w:ascii="Times New Roman" w:eastAsia="Times New Roman" w:hAnsi="Times New Roman"/>
          <w:sz w:val="20"/>
          <w:szCs w:val="20"/>
          <w:lang w:eastAsia="ru-RU"/>
        </w:rPr>
        <w:t>86 774</w:t>
      </w:r>
      <w:r w:rsidRPr="000572AB">
        <w:rPr>
          <w:rFonts w:ascii="Times New Roman" w:eastAsia="Times New Roman" w:hAnsi="Times New Roman"/>
          <w:sz w:val="20"/>
          <w:szCs w:val="20"/>
          <w:lang w:eastAsia="ru-RU"/>
        </w:rPr>
        <w:t xml:space="preserve"> тис. грн.</w:t>
      </w:r>
      <w:r w:rsidR="00BC520E" w:rsidRPr="000572AB">
        <w:rPr>
          <w:rFonts w:ascii="Times New Roman" w:eastAsia="Times New Roman" w:hAnsi="Times New Roman"/>
          <w:sz w:val="20"/>
          <w:szCs w:val="20"/>
          <w:lang w:eastAsia="ru-RU"/>
        </w:rPr>
        <w:t xml:space="preserve"> </w:t>
      </w:r>
      <w:r w:rsidR="00BC520E" w:rsidRPr="000572AB">
        <w:rPr>
          <w:rFonts w:ascii="Times New Roman" w:hAnsi="Times New Roman"/>
          <w:sz w:val="20"/>
          <w:szCs w:val="20"/>
        </w:rPr>
        <w:t>За 2016 рік такий рух (витрачання) становив 81 730 тис. грн.</w:t>
      </w:r>
    </w:p>
    <w:p w:rsidR="007818CF" w:rsidRPr="000572AB" w:rsidRDefault="007818CF" w:rsidP="00D542E2">
      <w:pPr>
        <w:pStyle w:val="a2"/>
        <w:spacing w:after="0" w:line="240" w:lineRule="auto"/>
        <w:ind w:firstLine="709"/>
        <w:contextualSpacing/>
        <w:jc w:val="both"/>
        <w:rPr>
          <w:rFonts w:ascii="Times New Roman" w:hAnsi="Times New Roman"/>
          <w:b/>
          <w:sz w:val="20"/>
          <w:szCs w:val="20"/>
        </w:rPr>
      </w:pPr>
    </w:p>
    <w:p w:rsidR="007818CF" w:rsidRPr="000572AB" w:rsidRDefault="008377A0" w:rsidP="00D542E2">
      <w:pPr>
        <w:pStyle w:val="2"/>
        <w:numPr>
          <w:ilvl w:val="0"/>
          <w:numId w:val="0"/>
        </w:numPr>
        <w:spacing w:before="0" w:after="0"/>
        <w:ind w:left="1080" w:hanging="371"/>
        <w:contextualSpacing/>
        <w:jc w:val="both"/>
        <w:rPr>
          <w:sz w:val="20"/>
          <w:szCs w:val="20"/>
          <w:lang w:val="uk-UA"/>
        </w:rPr>
      </w:pPr>
      <w:r w:rsidRPr="000572AB">
        <w:rPr>
          <w:sz w:val="20"/>
          <w:szCs w:val="20"/>
          <w:lang w:val="uk-UA"/>
        </w:rPr>
        <w:t>2</w:t>
      </w:r>
      <w:r w:rsidR="00777E42" w:rsidRPr="000572AB">
        <w:rPr>
          <w:sz w:val="20"/>
          <w:szCs w:val="20"/>
          <w:lang w:val="uk-UA"/>
        </w:rPr>
        <w:t>0</w:t>
      </w:r>
      <w:r w:rsidR="007818CF" w:rsidRPr="000572AB">
        <w:rPr>
          <w:sz w:val="20"/>
          <w:szCs w:val="20"/>
          <w:lang w:val="uk-UA"/>
        </w:rPr>
        <w:t>.</w:t>
      </w:r>
      <w:r w:rsidR="00A02B9E" w:rsidRPr="000572AB">
        <w:rPr>
          <w:sz w:val="20"/>
          <w:szCs w:val="20"/>
          <w:lang w:val="uk-UA"/>
        </w:rPr>
        <w:t>3</w:t>
      </w:r>
      <w:r w:rsidR="007818CF" w:rsidRPr="000572AB">
        <w:rPr>
          <w:sz w:val="20"/>
          <w:szCs w:val="20"/>
          <w:lang w:val="uk-UA"/>
        </w:rPr>
        <w:t>. Рух коштів у результаті фінансової  діяльності</w:t>
      </w:r>
    </w:p>
    <w:p w:rsidR="007818CF" w:rsidRPr="000572AB" w:rsidRDefault="007818CF" w:rsidP="00D542E2">
      <w:pPr>
        <w:pStyle w:val="a2"/>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 xml:space="preserve">Фінансова діяльність — це надходження чи використання коштів, що мали місце в результаті емісії цінних паперів, викупу власних акцій, виплата дивідендів, погашення зобов'язань за борговими цінними паперами та інші </w:t>
      </w:r>
    </w:p>
    <w:p w:rsidR="007E1EB9" w:rsidRPr="000572AB" w:rsidRDefault="007E1EB9" w:rsidP="00D542E2">
      <w:pPr>
        <w:pStyle w:val="a2"/>
        <w:spacing w:after="0" w:line="240" w:lineRule="auto"/>
        <w:contextualSpacing/>
        <w:jc w:val="both"/>
        <w:rPr>
          <w:rFonts w:ascii="Times New Roman" w:hAnsi="Times New Roman"/>
          <w:b/>
          <w:sz w:val="20"/>
          <w:szCs w:val="20"/>
        </w:rPr>
      </w:pPr>
    </w:p>
    <w:p w:rsidR="00427484" w:rsidRPr="000572AB" w:rsidRDefault="00427484" w:rsidP="00D542E2">
      <w:pPr>
        <w:pStyle w:val="a2"/>
        <w:spacing w:after="0" w:line="240" w:lineRule="auto"/>
        <w:contextualSpacing/>
        <w:jc w:val="both"/>
        <w:rPr>
          <w:rFonts w:ascii="Times New Roman" w:hAnsi="Times New Roman"/>
          <w:sz w:val="20"/>
          <w:szCs w:val="20"/>
        </w:rPr>
      </w:pPr>
      <w:r w:rsidRPr="000572AB">
        <w:rPr>
          <w:rFonts w:ascii="Times New Roman" w:hAnsi="Times New Roman"/>
          <w:b/>
          <w:sz w:val="20"/>
          <w:szCs w:val="20"/>
        </w:rPr>
        <w:t>Надходження</w:t>
      </w:r>
      <w:r w:rsidRPr="000572AB">
        <w:rPr>
          <w:rFonts w:ascii="Times New Roman" w:hAnsi="Times New Roman"/>
          <w:sz w:val="20"/>
          <w:szCs w:val="20"/>
        </w:rPr>
        <w:t xml:space="preserve"> в</w:t>
      </w:r>
      <w:r w:rsidR="00D35FDD" w:rsidRPr="000572AB">
        <w:rPr>
          <w:rFonts w:ascii="Times New Roman" w:hAnsi="Times New Roman"/>
          <w:sz w:val="20"/>
          <w:szCs w:val="20"/>
        </w:rPr>
        <w:t xml:space="preserve">ід </w:t>
      </w:r>
      <w:r w:rsidRPr="000572AB">
        <w:rPr>
          <w:rFonts w:ascii="Times New Roman" w:hAnsi="Times New Roman"/>
          <w:sz w:val="20"/>
          <w:szCs w:val="20"/>
        </w:rPr>
        <w:t>фінансової діяльності у 201</w:t>
      </w:r>
      <w:r w:rsidR="006F5F35" w:rsidRPr="000572AB">
        <w:rPr>
          <w:rFonts w:ascii="Times New Roman" w:hAnsi="Times New Roman"/>
          <w:sz w:val="20"/>
          <w:szCs w:val="20"/>
        </w:rPr>
        <w:t>7</w:t>
      </w:r>
      <w:r w:rsidRPr="000572AB">
        <w:rPr>
          <w:rFonts w:ascii="Times New Roman" w:hAnsi="Times New Roman"/>
          <w:sz w:val="20"/>
          <w:szCs w:val="20"/>
        </w:rPr>
        <w:t xml:space="preserve"> році </w:t>
      </w:r>
      <w:r w:rsidR="00D35FDD" w:rsidRPr="000572AB">
        <w:rPr>
          <w:rFonts w:ascii="Times New Roman" w:hAnsi="Times New Roman"/>
          <w:sz w:val="20"/>
          <w:szCs w:val="20"/>
        </w:rPr>
        <w:t>становили надходження від отримання позик (розміщенних облігацій власної емісії) 162 775 тис. грн</w:t>
      </w:r>
      <w:r w:rsidR="006F5F35" w:rsidRPr="000572AB">
        <w:rPr>
          <w:rFonts w:ascii="Times New Roman" w:hAnsi="Times New Roman"/>
          <w:sz w:val="20"/>
          <w:szCs w:val="20"/>
        </w:rPr>
        <w:t>.</w:t>
      </w:r>
      <w:r w:rsidR="00BC520E" w:rsidRPr="000572AB">
        <w:rPr>
          <w:rFonts w:ascii="Times New Roman" w:hAnsi="Times New Roman"/>
          <w:sz w:val="20"/>
          <w:szCs w:val="20"/>
        </w:rPr>
        <w:t xml:space="preserve"> </w:t>
      </w:r>
      <w:r w:rsidR="001E2313" w:rsidRPr="000572AB">
        <w:rPr>
          <w:rFonts w:ascii="Times New Roman" w:hAnsi="Times New Roman"/>
          <w:sz w:val="20"/>
          <w:szCs w:val="20"/>
        </w:rPr>
        <w:t>(24 470 тис грн. у 2016 році).</w:t>
      </w:r>
    </w:p>
    <w:p w:rsidR="006C0AD6" w:rsidRPr="000572AB" w:rsidRDefault="005B63E0" w:rsidP="00D542E2">
      <w:pPr>
        <w:pStyle w:val="a2"/>
        <w:spacing w:after="0" w:line="240" w:lineRule="auto"/>
        <w:contextualSpacing/>
        <w:jc w:val="both"/>
        <w:rPr>
          <w:rFonts w:ascii="Times New Roman" w:hAnsi="Times New Roman"/>
          <w:sz w:val="20"/>
          <w:szCs w:val="20"/>
        </w:rPr>
      </w:pPr>
      <w:r w:rsidRPr="000572AB">
        <w:rPr>
          <w:rFonts w:ascii="Times New Roman" w:hAnsi="Times New Roman"/>
          <w:b/>
          <w:sz w:val="20"/>
          <w:szCs w:val="20"/>
        </w:rPr>
        <w:t xml:space="preserve">Витрачання </w:t>
      </w:r>
      <w:r w:rsidRPr="000572AB">
        <w:rPr>
          <w:rFonts w:ascii="Times New Roman" w:hAnsi="Times New Roman"/>
          <w:sz w:val="20"/>
          <w:szCs w:val="20"/>
        </w:rPr>
        <w:t xml:space="preserve"> в</w:t>
      </w:r>
      <w:r w:rsidR="00D35FDD" w:rsidRPr="000572AB">
        <w:rPr>
          <w:rFonts w:ascii="Times New Roman" w:hAnsi="Times New Roman"/>
          <w:sz w:val="20"/>
          <w:szCs w:val="20"/>
        </w:rPr>
        <w:t xml:space="preserve">ід </w:t>
      </w:r>
      <w:r w:rsidRPr="000572AB">
        <w:rPr>
          <w:rFonts w:ascii="Times New Roman" w:hAnsi="Times New Roman"/>
          <w:sz w:val="20"/>
          <w:szCs w:val="20"/>
        </w:rPr>
        <w:t>фінансової діяльності у 201</w:t>
      </w:r>
      <w:r w:rsidR="006F5F35" w:rsidRPr="000572AB">
        <w:rPr>
          <w:rFonts w:ascii="Times New Roman" w:hAnsi="Times New Roman"/>
          <w:sz w:val="20"/>
          <w:szCs w:val="20"/>
        </w:rPr>
        <w:t>7</w:t>
      </w:r>
      <w:r w:rsidRPr="000572AB">
        <w:rPr>
          <w:rFonts w:ascii="Times New Roman" w:hAnsi="Times New Roman"/>
          <w:sz w:val="20"/>
          <w:szCs w:val="20"/>
        </w:rPr>
        <w:t xml:space="preserve"> році становлять:</w:t>
      </w:r>
    </w:p>
    <w:p w:rsidR="005B63E0" w:rsidRPr="000572AB" w:rsidRDefault="005B63E0" w:rsidP="00D542E2">
      <w:pPr>
        <w:pStyle w:val="a2"/>
        <w:numPr>
          <w:ilvl w:val="0"/>
          <w:numId w:val="8"/>
        </w:numPr>
        <w:spacing w:after="0" w:line="240" w:lineRule="auto"/>
        <w:contextualSpacing/>
        <w:jc w:val="both"/>
        <w:rPr>
          <w:rFonts w:ascii="Times New Roman" w:hAnsi="Times New Roman"/>
          <w:sz w:val="20"/>
          <w:szCs w:val="20"/>
        </w:rPr>
      </w:pPr>
      <w:r w:rsidRPr="000572AB">
        <w:rPr>
          <w:rFonts w:ascii="Times New Roman" w:hAnsi="Times New Roman"/>
          <w:sz w:val="20"/>
          <w:szCs w:val="20"/>
        </w:rPr>
        <w:t xml:space="preserve">погашення позик – </w:t>
      </w:r>
      <w:r w:rsidR="006F5F35" w:rsidRPr="000572AB">
        <w:rPr>
          <w:rFonts w:ascii="Times New Roman" w:hAnsi="Times New Roman"/>
          <w:sz w:val="20"/>
          <w:szCs w:val="20"/>
        </w:rPr>
        <w:t>13</w:t>
      </w:r>
      <w:r w:rsidR="00D35FDD" w:rsidRPr="000572AB">
        <w:rPr>
          <w:rFonts w:ascii="Times New Roman" w:hAnsi="Times New Roman"/>
          <w:sz w:val="20"/>
          <w:szCs w:val="20"/>
        </w:rPr>
        <w:t>1 853</w:t>
      </w:r>
      <w:r w:rsidRPr="000572AB">
        <w:rPr>
          <w:rFonts w:ascii="Times New Roman" w:hAnsi="Times New Roman"/>
          <w:sz w:val="20"/>
          <w:szCs w:val="20"/>
        </w:rPr>
        <w:t xml:space="preserve"> тис. грн. (</w:t>
      </w:r>
      <w:r w:rsidR="00D35FDD" w:rsidRPr="000572AB">
        <w:rPr>
          <w:rFonts w:ascii="Times New Roman" w:hAnsi="Times New Roman"/>
          <w:sz w:val="20"/>
          <w:szCs w:val="20"/>
        </w:rPr>
        <w:t xml:space="preserve">викуп </w:t>
      </w:r>
      <w:r w:rsidRPr="000572AB">
        <w:rPr>
          <w:rFonts w:ascii="Times New Roman" w:hAnsi="Times New Roman"/>
          <w:sz w:val="20"/>
          <w:szCs w:val="20"/>
        </w:rPr>
        <w:t xml:space="preserve"> </w:t>
      </w:r>
      <w:r w:rsidR="00D35FDD" w:rsidRPr="000572AB">
        <w:rPr>
          <w:rFonts w:ascii="Times New Roman" w:hAnsi="Times New Roman"/>
          <w:sz w:val="20"/>
          <w:szCs w:val="20"/>
        </w:rPr>
        <w:t>облігацій власної емісії</w:t>
      </w:r>
      <w:r w:rsidRPr="000572AB">
        <w:rPr>
          <w:rFonts w:ascii="Times New Roman" w:hAnsi="Times New Roman"/>
          <w:sz w:val="20"/>
          <w:szCs w:val="20"/>
        </w:rPr>
        <w:t>)</w:t>
      </w:r>
      <w:r w:rsidR="001E2313" w:rsidRPr="000572AB">
        <w:rPr>
          <w:rFonts w:ascii="Times New Roman" w:hAnsi="Times New Roman"/>
          <w:sz w:val="20"/>
          <w:szCs w:val="20"/>
        </w:rPr>
        <w:t>. (55 455тис грн. у 2016 році)</w:t>
      </w:r>
      <w:r w:rsidRPr="000572AB">
        <w:rPr>
          <w:rFonts w:ascii="Times New Roman" w:hAnsi="Times New Roman"/>
          <w:sz w:val="20"/>
          <w:szCs w:val="20"/>
        </w:rPr>
        <w:t>;</w:t>
      </w:r>
    </w:p>
    <w:p w:rsidR="005B63E0" w:rsidRPr="000572AB" w:rsidRDefault="00D35FDD" w:rsidP="00D542E2">
      <w:pPr>
        <w:pStyle w:val="a2"/>
        <w:numPr>
          <w:ilvl w:val="0"/>
          <w:numId w:val="8"/>
        </w:numPr>
        <w:spacing w:after="0" w:line="240" w:lineRule="auto"/>
        <w:contextualSpacing/>
        <w:jc w:val="both"/>
        <w:rPr>
          <w:rFonts w:ascii="Times New Roman" w:hAnsi="Times New Roman"/>
          <w:sz w:val="20"/>
          <w:szCs w:val="20"/>
        </w:rPr>
      </w:pPr>
      <w:r w:rsidRPr="000572AB">
        <w:rPr>
          <w:rFonts w:ascii="Times New Roman" w:hAnsi="Times New Roman"/>
          <w:sz w:val="20"/>
          <w:szCs w:val="20"/>
        </w:rPr>
        <w:t>витрачання на сплату</w:t>
      </w:r>
      <w:r w:rsidR="005B63E0" w:rsidRPr="000572AB">
        <w:rPr>
          <w:rFonts w:ascii="Times New Roman" w:hAnsi="Times New Roman"/>
          <w:sz w:val="20"/>
          <w:szCs w:val="20"/>
        </w:rPr>
        <w:t xml:space="preserve"> відсотків  - </w:t>
      </w:r>
      <w:r w:rsidRPr="000572AB">
        <w:rPr>
          <w:rFonts w:ascii="Times New Roman" w:hAnsi="Times New Roman"/>
          <w:sz w:val="20"/>
          <w:szCs w:val="20"/>
        </w:rPr>
        <w:t>36 199</w:t>
      </w:r>
      <w:r w:rsidR="006F5F35" w:rsidRPr="000572AB">
        <w:rPr>
          <w:rFonts w:ascii="Times New Roman" w:hAnsi="Times New Roman"/>
          <w:sz w:val="20"/>
          <w:szCs w:val="20"/>
        </w:rPr>
        <w:t xml:space="preserve"> тис. грн. </w:t>
      </w:r>
      <w:r w:rsidR="005B63E0" w:rsidRPr="000572AB">
        <w:rPr>
          <w:rFonts w:ascii="Times New Roman" w:hAnsi="Times New Roman"/>
          <w:sz w:val="20"/>
          <w:szCs w:val="20"/>
        </w:rPr>
        <w:t xml:space="preserve"> (сплачені відсотки за договорами залучення фінансових активів</w:t>
      </w:r>
      <w:r w:rsidR="00A02B9E" w:rsidRPr="000572AB">
        <w:rPr>
          <w:rFonts w:ascii="Times New Roman" w:hAnsi="Times New Roman"/>
          <w:sz w:val="20"/>
          <w:szCs w:val="20"/>
        </w:rPr>
        <w:t xml:space="preserve"> із зобов’язанням щодо наступного їх повернення</w:t>
      </w:r>
      <w:r w:rsidR="005B63E0" w:rsidRPr="000572AB">
        <w:rPr>
          <w:rFonts w:ascii="Times New Roman" w:hAnsi="Times New Roman"/>
          <w:sz w:val="20"/>
          <w:szCs w:val="20"/>
        </w:rPr>
        <w:t>)</w:t>
      </w:r>
      <w:r w:rsidR="001E2313" w:rsidRPr="000572AB">
        <w:rPr>
          <w:rFonts w:ascii="Times New Roman" w:hAnsi="Times New Roman"/>
          <w:sz w:val="20"/>
          <w:szCs w:val="20"/>
        </w:rPr>
        <w:t xml:space="preserve">, (27 888 тис грн. у 2016 році); </w:t>
      </w:r>
      <w:r w:rsidR="005B63E0" w:rsidRPr="000572AB">
        <w:rPr>
          <w:rFonts w:ascii="Times New Roman" w:hAnsi="Times New Roman"/>
          <w:sz w:val="20"/>
          <w:szCs w:val="20"/>
        </w:rPr>
        <w:t>.</w:t>
      </w:r>
    </w:p>
    <w:p w:rsidR="006C0AD6" w:rsidRPr="000572AB" w:rsidRDefault="006C0AD6" w:rsidP="00D542E2">
      <w:pPr>
        <w:pStyle w:val="a2"/>
        <w:spacing w:after="0" w:line="240" w:lineRule="auto"/>
        <w:contextualSpacing/>
        <w:jc w:val="both"/>
        <w:rPr>
          <w:rFonts w:ascii="Times New Roman" w:hAnsi="Times New Roman"/>
          <w:sz w:val="20"/>
          <w:szCs w:val="20"/>
        </w:rPr>
      </w:pPr>
      <w:r w:rsidRPr="000572AB">
        <w:rPr>
          <w:rFonts w:ascii="Times New Roman" w:hAnsi="Times New Roman"/>
          <w:b/>
          <w:sz w:val="20"/>
          <w:szCs w:val="20"/>
        </w:rPr>
        <w:t>Чистий рух</w:t>
      </w:r>
      <w:r w:rsidRPr="000572AB">
        <w:rPr>
          <w:rFonts w:ascii="Times New Roman" w:hAnsi="Times New Roman"/>
          <w:sz w:val="20"/>
          <w:szCs w:val="20"/>
        </w:rPr>
        <w:t xml:space="preserve"> грошових коштів від фінансової діяльності протягом 201</w:t>
      </w:r>
      <w:r w:rsidR="006F5F35" w:rsidRPr="000572AB">
        <w:rPr>
          <w:rFonts w:ascii="Times New Roman" w:hAnsi="Times New Roman"/>
          <w:sz w:val="20"/>
          <w:szCs w:val="20"/>
        </w:rPr>
        <w:t>7</w:t>
      </w:r>
      <w:r w:rsidRPr="000572AB">
        <w:rPr>
          <w:rFonts w:ascii="Times New Roman" w:hAnsi="Times New Roman"/>
          <w:sz w:val="20"/>
          <w:szCs w:val="20"/>
        </w:rPr>
        <w:t xml:space="preserve"> року склав </w:t>
      </w:r>
      <w:r w:rsidR="00935A4D" w:rsidRPr="000572AB">
        <w:rPr>
          <w:rFonts w:ascii="Times New Roman" w:hAnsi="Times New Roman"/>
          <w:sz w:val="20"/>
          <w:szCs w:val="20"/>
        </w:rPr>
        <w:t>5 277</w:t>
      </w:r>
      <w:r w:rsidRPr="000572AB">
        <w:rPr>
          <w:rFonts w:ascii="Times New Roman" w:hAnsi="Times New Roman"/>
          <w:sz w:val="20"/>
          <w:szCs w:val="20"/>
        </w:rPr>
        <w:t xml:space="preserve"> тис. грн. (</w:t>
      </w:r>
      <w:r w:rsidR="005B63E0" w:rsidRPr="000572AB">
        <w:rPr>
          <w:rFonts w:ascii="Times New Roman" w:hAnsi="Times New Roman"/>
          <w:sz w:val="20"/>
          <w:szCs w:val="20"/>
        </w:rPr>
        <w:t>витрачання</w:t>
      </w:r>
      <w:r w:rsidRPr="000572AB">
        <w:rPr>
          <w:rFonts w:ascii="Times New Roman" w:hAnsi="Times New Roman"/>
          <w:sz w:val="20"/>
          <w:szCs w:val="20"/>
        </w:rPr>
        <w:t>).</w:t>
      </w:r>
      <w:r w:rsidR="001E2313" w:rsidRPr="000572AB">
        <w:rPr>
          <w:rFonts w:ascii="Times New Roman" w:hAnsi="Times New Roman"/>
          <w:sz w:val="20"/>
          <w:szCs w:val="20"/>
        </w:rPr>
        <w:t xml:space="preserve"> За 2016 рік такий рух (витрачання) становив 58 873 тис. грн</w:t>
      </w:r>
    </w:p>
    <w:p w:rsidR="00935A4D" w:rsidRPr="000572AB" w:rsidRDefault="00935A4D" w:rsidP="00D542E2">
      <w:pPr>
        <w:pStyle w:val="a2"/>
        <w:spacing w:after="0" w:line="240" w:lineRule="auto"/>
        <w:contextualSpacing/>
        <w:jc w:val="both"/>
        <w:rPr>
          <w:rFonts w:ascii="Times New Roman" w:hAnsi="Times New Roman"/>
          <w:sz w:val="20"/>
          <w:szCs w:val="20"/>
        </w:rPr>
      </w:pPr>
    </w:p>
    <w:p w:rsidR="00280F38" w:rsidRPr="000572AB" w:rsidRDefault="00280F38" w:rsidP="00D542E2">
      <w:pPr>
        <w:pStyle w:val="a2"/>
        <w:spacing w:after="0" w:line="240" w:lineRule="auto"/>
        <w:contextualSpacing/>
        <w:jc w:val="both"/>
        <w:rPr>
          <w:rFonts w:ascii="Times New Roman" w:hAnsi="Times New Roman"/>
          <w:sz w:val="20"/>
          <w:szCs w:val="20"/>
        </w:rPr>
      </w:pPr>
      <w:r w:rsidRPr="000572AB">
        <w:rPr>
          <w:rFonts w:ascii="Times New Roman" w:hAnsi="Times New Roman"/>
          <w:sz w:val="20"/>
          <w:szCs w:val="20"/>
        </w:rPr>
        <w:t xml:space="preserve">Залишок коштів на початок </w:t>
      </w:r>
      <w:r w:rsidR="001E2313" w:rsidRPr="000572AB">
        <w:rPr>
          <w:rFonts w:ascii="Times New Roman" w:hAnsi="Times New Roman"/>
          <w:sz w:val="20"/>
          <w:szCs w:val="20"/>
        </w:rPr>
        <w:t>2017</w:t>
      </w:r>
      <w:r w:rsidRPr="000572AB">
        <w:rPr>
          <w:rFonts w:ascii="Times New Roman" w:hAnsi="Times New Roman"/>
          <w:sz w:val="20"/>
          <w:szCs w:val="20"/>
        </w:rPr>
        <w:t xml:space="preserve">року становить </w:t>
      </w:r>
      <w:r w:rsidR="005B63E0" w:rsidRPr="000572AB">
        <w:rPr>
          <w:rFonts w:ascii="Times New Roman" w:hAnsi="Times New Roman"/>
          <w:sz w:val="20"/>
          <w:szCs w:val="20"/>
        </w:rPr>
        <w:t>–</w:t>
      </w:r>
      <w:r w:rsidRPr="000572AB">
        <w:rPr>
          <w:rFonts w:ascii="Times New Roman" w:hAnsi="Times New Roman"/>
          <w:sz w:val="20"/>
          <w:szCs w:val="20"/>
        </w:rPr>
        <w:t xml:space="preserve"> </w:t>
      </w:r>
      <w:r w:rsidR="00935A4D" w:rsidRPr="000572AB">
        <w:rPr>
          <w:rFonts w:ascii="Times New Roman" w:hAnsi="Times New Roman"/>
          <w:sz w:val="20"/>
          <w:szCs w:val="20"/>
        </w:rPr>
        <w:t>343</w:t>
      </w:r>
      <w:r w:rsidR="005B63E0" w:rsidRPr="000572AB">
        <w:rPr>
          <w:rFonts w:ascii="Times New Roman" w:hAnsi="Times New Roman"/>
          <w:sz w:val="20"/>
          <w:szCs w:val="20"/>
        </w:rPr>
        <w:t xml:space="preserve"> </w:t>
      </w:r>
      <w:r w:rsidRPr="000572AB">
        <w:rPr>
          <w:rFonts w:ascii="Times New Roman" w:hAnsi="Times New Roman"/>
          <w:sz w:val="20"/>
          <w:szCs w:val="20"/>
        </w:rPr>
        <w:t>тис. грн.</w:t>
      </w:r>
    </w:p>
    <w:p w:rsidR="00280F38" w:rsidRPr="000572AB" w:rsidRDefault="00280F38" w:rsidP="00D542E2">
      <w:pPr>
        <w:pStyle w:val="a2"/>
        <w:spacing w:after="0" w:line="240" w:lineRule="auto"/>
        <w:contextualSpacing/>
        <w:jc w:val="both"/>
        <w:rPr>
          <w:rFonts w:ascii="Times New Roman" w:hAnsi="Times New Roman"/>
          <w:sz w:val="20"/>
          <w:szCs w:val="20"/>
        </w:rPr>
      </w:pPr>
      <w:r w:rsidRPr="000572AB">
        <w:rPr>
          <w:rFonts w:ascii="Times New Roman" w:hAnsi="Times New Roman"/>
          <w:sz w:val="20"/>
          <w:szCs w:val="20"/>
        </w:rPr>
        <w:t xml:space="preserve">Чистий рух грошових коштів </w:t>
      </w:r>
      <w:r w:rsidR="00935A4D" w:rsidRPr="000572AB">
        <w:rPr>
          <w:rFonts w:ascii="Times New Roman" w:hAnsi="Times New Roman"/>
          <w:sz w:val="20"/>
          <w:szCs w:val="20"/>
        </w:rPr>
        <w:t>(витрачання</w:t>
      </w:r>
      <w:r w:rsidR="00A02B9E" w:rsidRPr="000572AB">
        <w:rPr>
          <w:rFonts w:ascii="Times New Roman" w:hAnsi="Times New Roman"/>
          <w:sz w:val="20"/>
          <w:szCs w:val="20"/>
        </w:rPr>
        <w:t xml:space="preserve">) </w:t>
      </w:r>
      <w:r w:rsidRPr="000572AB">
        <w:rPr>
          <w:rFonts w:ascii="Times New Roman" w:hAnsi="Times New Roman"/>
          <w:sz w:val="20"/>
          <w:szCs w:val="20"/>
        </w:rPr>
        <w:t xml:space="preserve"> за звітний період складає </w:t>
      </w:r>
      <w:r w:rsidR="00935A4D" w:rsidRPr="000572AB">
        <w:rPr>
          <w:rFonts w:ascii="Times New Roman" w:hAnsi="Times New Roman"/>
          <w:sz w:val="20"/>
          <w:szCs w:val="20"/>
        </w:rPr>
        <w:t>316</w:t>
      </w:r>
      <w:r w:rsidRPr="000572AB">
        <w:rPr>
          <w:rFonts w:ascii="Times New Roman" w:hAnsi="Times New Roman"/>
          <w:sz w:val="20"/>
          <w:szCs w:val="20"/>
        </w:rPr>
        <w:t xml:space="preserve"> тис. грн.</w:t>
      </w:r>
    </w:p>
    <w:p w:rsidR="00280F38" w:rsidRPr="000572AB" w:rsidRDefault="00280F38" w:rsidP="00D542E2">
      <w:pPr>
        <w:pStyle w:val="a2"/>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Залишок коштів на 31.12.201</w:t>
      </w:r>
      <w:r w:rsidR="006F5F35" w:rsidRPr="000572AB">
        <w:rPr>
          <w:rFonts w:ascii="Times New Roman" w:hAnsi="Times New Roman"/>
          <w:sz w:val="20"/>
          <w:szCs w:val="20"/>
        </w:rPr>
        <w:t>7</w:t>
      </w:r>
      <w:r w:rsidRPr="000572AB">
        <w:rPr>
          <w:rFonts w:ascii="Times New Roman" w:hAnsi="Times New Roman"/>
          <w:sz w:val="20"/>
          <w:szCs w:val="20"/>
        </w:rPr>
        <w:t xml:space="preserve"> р. становить </w:t>
      </w:r>
      <w:r w:rsidR="00935A4D" w:rsidRPr="000572AB">
        <w:rPr>
          <w:rFonts w:ascii="Times New Roman" w:hAnsi="Times New Roman"/>
          <w:sz w:val="20"/>
          <w:szCs w:val="20"/>
        </w:rPr>
        <w:t xml:space="preserve"> 27</w:t>
      </w:r>
      <w:r w:rsidRPr="000572AB">
        <w:rPr>
          <w:rFonts w:ascii="Times New Roman" w:hAnsi="Times New Roman"/>
          <w:sz w:val="20"/>
          <w:szCs w:val="20"/>
        </w:rPr>
        <w:t xml:space="preserve"> тис. грн.</w:t>
      </w:r>
    </w:p>
    <w:p w:rsidR="00280F38" w:rsidRPr="000572AB" w:rsidRDefault="00280F38" w:rsidP="00D542E2">
      <w:pPr>
        <w:pStyle w:val="a2"/>
        <w:spacing w:after="0" w:line="240" w:lineRule="auto"/>
        <w:ind w:firstLine="709"/>
        <w:contextualSpacing/>
        <w:jc w:val="both"/>
        <w:rPr>
          <w:rFonts w:ascii="Times New Roman" w:hAnsi="Times New Roman"/>
          <w:sz w:val="20"/>
          <w:szCs w:val="20"/>
        </w:rPr>
      </w:pPr>
    </w:p>
    <w:p w:rsidR="007818CF" w:rsidRPr="000572AB" w:rsidRDefault="006419B3" w:rsidP="00D542E2">
      <w:pPr>
        <w:pStyle w:val="a"/>
        <w:rPr>
          <w:sz w:val="20"/>
          <w:szCs w:val="20"/>
        </w:rPr>
      </w:pPr>
      <w:r w:rsidRPr="000572AB">
        <w:rPr>
          <w:sz w:val="20"/>
          <w:szCs w:val="20"/>
        </w:rPr>
        <w:t xml:space="preserve">  </w:t>
      </w:r>
      <w:r w:rsidR="007818CF" w:rsidRPr="000572AB">
        <w:rPr>
          <w:sz w:val="20"/>
          <w:szCs w:val="20"/>
        </w:rPr>
        <w:t>Звіт про власний капітал</w:t>
      </w:r>
    </w:p>
    <w:p w:rsidR="007818CF" w:rsidRPr="000572AB" w:rsidRDefault="007818CF" w:rsidP="00D542E2">
      <w:pPr>
        <w:pStyle w:val="a2"/>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Управління капіталом Товариства спрямовано на досягнення наступних цілей: дотримання вимог до капіталу, встановлених регулятором, і забезпечення здатності Товариства функціонувати в якості безперервно діючого підприємства. Товариств</w:t>
      </w:r>
      <w:r w:rsidR="00D609E9" w:rsidRPr="000572AB">
        <w:rPr>
          <w:rFonts w:ascii="Times New Roman" w:hAnsi="Times New Roman"/>
          <w:sz w:val="20"/>
          <w:szCs w:val="20"/>
        </w:rPr>
        <w:t>о</w:t>
      </w:r>
      <w:r w:rsidRPr="000572AB">
        <w:rPr>
          <w:rFonts w:ascii="Times New Roman" w:hAnsi="Times New Roman"/>
          <w:sz w:val="20"/>
          <w:szCs w:val="20"/>
        </w:rPr>
        <w:t xml:space="preserve"> вважає, що загальна сума капіталу, управління яким здійснюється, дорівнює с</w:t>
      </w:r>
      <w:r w:rsidR="00D609E9" w:rsidRPr="000572AB">
        <w:rPr>
          <w:rFonts w:ascii="Times New Roman" w:hAnsi="Times New Roman"/>
          <w:sz w:val="20"/>
          <w:szCs w:val="20"/>
        </w:rPr>
        <w:t>умі капіталу, відображеного в Б</w:t>
      </w:r>
      <w:r w:rsidRPr="000572AB">
        <w:rPr>
          <w:rFonts w:ascii="Times New Roman" w:hAnsi="Times New Roman"/>
          <w:sz w:val="20"/>
          <w:szCs w:val="20"/>
        </w:rPr>
        <w:t>алансі</w:t>
      </w:r>
      <w:r w:rsidR="00D609E9" w:rsidRPr="000572AB">
        <w:rPr>
          <w:rFonts w:ascii="Times New Roman" w:hAnsi="Times New Roman"/>
          <w:sz w:val="20"/>
          <w:szCs w:val="20"/>
        </w:rPr>
        <w:t xml:space="preserve"> (Звіт про фінансовий стан).</w:t>
      </w:r>
      <w:r w:rsidR="001D4283" w:rsidRPr="000572AB">
        <w:rPr>
          <w:rFonts w:ascii="Times New Roman" w:hAnsi="Times New Roman"/>
          <w:sz w:val="20"/>
          <w:szCs w:val="20"/>
        </w:rPr>
        <w:t xml:space="preserve"> </w:t>
      </w:r>
    </w:p>
    <w:p w:rsidR="007818CF" w:rsidRPr="000572AB" w:rsidRDefault="007818CF" w:rsidP="00D542E2">
      <w:pPr>
        <w:pStyle w:val="a2"/>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 xml:space="preserve">Облік </w:t>
      </w:r>
      <w:r w:rsidR="00433FD7" w:rsidRPr="000572AB">
        <w:rPr>
          <w:rFonts w:ascii="Times New Roman" w:hAnsi="Times New Roman"/>
          <w:sz w:val="20"/>
          <w:szCs w:val="20"/>
        </w:rPr>
        <w:t>нерозподіленого прибутку</w:t>
      </w:r>
      <w:r w:rsidR="008320E7" w:rsidRPr="000572AB">
        <w:rPr>
          <w:rFonts w:ascii="Times New Roman" w:hAnsi="Times New Roman"/>
          <w:sz w:val="20"/>
          <w:szCs w:val="20"/>
        </w:rPr>
        <w:t xml:space="preserve"> (непокритого збитку)</w:t>
      </w:r>
      <w:r w:rsidRPr="000572AB">
        <w:rPr>
          <w:rFonts w:ascii="Times New Roman" w:hAnsi="Times New Roman"/>
          <w:sz w:val="20"/>
          <w:szCs w:val="20"/>
        </w:rPr>
        <w:t xml:space="preserve"> здійснюється відповідно до чинного законодавства. </w:t>
      </w:r>
    </w:p>
    <w:p w:rsidR="00725C3A" w:rsidRPr="000572AB" w:rsidRDefault="00876C81" w:rsidP="00D542E2">
      <w:pPr>
        <w:pStyle w:val="a2"/>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 xml:space="preserve">Зареєстрований капітал становить </w:t>
      </w:r>
      <w:r w:rsidR="008320E7" w:rsidRPr="000572AB">
        <w:rPr>
          <w:rFonts w:ascii="Times New Roman" w:hAnsi="Times New Roman"/>
          <w:sz w:val="20"/>
          <w:szCs w:val="20"/>
        </w:rPr>
        <w:t>104 136</w:t>
      </w:r>
      <w:r w:rsidRPr="000572AB">
        <w:rPr>
          <w:rFonts w:ascii="Times New Roman" w:hAnsi="Times New Roman"/>
          <w:sz w:val="20"/>
          <w:szCs w:val="20"/>
        </w:rPr>
        <w:t xml:space="preserve"> тис. грн.</w:t>
      </w:r>
      <w:r w:rsidR="00864D7D" w:rsidRPr="000572AB">
        <w:rPr>
          <w:rFonts w:ascii="Times New Roman" w:hAnsi="Times New Roman"/>
          <w:sz w:val="20"/>
          <w:szCs w:val="20"/>
        </w:rPr>
        <w:t xml:space="preserve"> </w:t>
      </w:r>
    </w:p>
    <w:p w:rsidR="00725C3A" w:rsidRPr="000572AB" w:rsidRDefault="00864D7D" w:rsidP="00D542E2">
      <w:pPr>
        <w:pStyle w:val="a2"/>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Станом на 31.12.201</w:t>
      </w:r>
      <w:r w:rsidR="006F5F35" w:rsidRPr="000572AB">
        <w:rPr>
          <w:rFonts w:ascii="Times New Roman" w:hAnsi="Times New Roman"/>
          <w:sz w:val="20"/>
          <w:szCs w:val="20"/>
        </w:rPr>
        <w:t>7</w:t>
      </w:r>
      <w:r w:rsidRPr="000572AB">
        <w:rPr>
          <w:rFonts w:ascii="Times New Roman" w:hAnsi="Times New Roman"/>
          <w:sz w:val="20"/>
          <w:szCs w:val="20"/>
        </w:rPr>
        <w:t xml:space="preserve"> року</w:t>
      </w:r>
      <w:r w:rsidR="00725C3A" w:rsidRPr="000572AB">
        <w:rPr>
          <w:rFonts w:ascii="Times New Roman" w:hAnsi="Times New Roman"/>
          <w:sz w:val="20"/>
          <w:szCs w:val="20"/>
        </w:rPr>
        <w:t>:</w:t>
      </w:r>
    </w:p>
    <w:p w:rsidR="00725C3A" w:rsidRPr="000572AB" w:rsidRDefault="00725C3A" w:rsidP="00D542E2">
      <w:pPr>
        <w:pStyle w:val="a2"/>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додатковий капітал –</w:t>
      </w:r>
      <w:r w:rsidR="008320E7" w:rsidRPr="000572AB">
        <w:rPr>
          <w:rFonts w:ascii="Times New Roman" w:hAnsi="Times New Roman"/>
          <w:sz w:val="20"/>
          <w:szCs w:val="20"/>
        </w:rPr>
        <w:t xml:space="preserve">0 </w:t>
      </w:r>
      <w:r w:rsidRPr="000572AB">
        <w:rPr>
          <w:rFonts w:ascii="Times New Roman" w:hAnsi="Times New Roman"/>
          <w:sz w:val="20"/>
          <w:szCs w:val="20"/>
        </w:rPr>
        <w:t xml:space="preserve"> тис. грн.;</w:t>
      </w:r>
    </w:p>
    <w:p w:rsidR="00876C81" w:rsidRPr="000572AB" w:rsidRDefault="00725C3A" w:rsidP="00D542E2">
      <w:pPr>
        <w:pStyle w:val="a2"/>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р</w:t>
      </w:r>
      <w:r w:rsidR="00876C81" w:rsidRPr="000572AB">
        <w:rPr>
          <w:rFonts w:ascii="Times New Roman" w:hAnsi="Times New Roman"/>
          <w:sz w:val="20"/>
          <w:szCs w:val="20"/>
        </w:rPr>
        <w:t xml:space="preserve">езервний капітал </w:t>
      </w:r>
      <w:r w:rsidRPr="000572AB">
        <w:rPr>
          <w:rFonts w:ascii="Times New Roman" w:hAnsi="Times New Roman"/>
          <w:sz w:val="20"/>
          <w:szCs w:val="20"/>
        </w:rPr>
        <w:t>-</w:t>
      </w:r>
      <w:r w:rsidR="00876C81" w:rsidRPr="000572AB">
        <w:rPr>
          <w:rFonts w:ascii="Times New Roman" w:hAnsi="Times New Roman"/>
          <w:sz w:val="20"/>
          <w:szCs w:val="20"/>
        </w:rPr>
        <w:t xml:space="preserve"> </w:t>
      </w:r>
      <w:r w:rsidR="008320E7" w:rsidRPr="000572AB">
        <w:rPr>
          <w:rFonts w:ascii="Times New Roman" w:hAnsi="Times New Roman"/>
          <w:sz w:val="20"/>
          <w:szCs w:val="20"/>
        </w:rPr>
        <w:t>0</w:t>
      </w:r>
      <w:r w:rsidR="0067554D" w:rsidRPr="000572AB">
        <w:rPr>
          <w:rFonts w:ascii="Times New Roman" w:hAnsi="Times New Roman"/>
          <w:sz w:val="20"/>
          <w:szCs w:val="20"/>
        </w:rPr>
        <w:t xml:space="preserve"> </w:t>
      </w:r>
      <w:r w:rsidR="00876C81" w:rsidRPr="000572AB">
        <w:rPr>
          <w:rFonts w:ascii="Times New Roman" w:hAnsi="Times New Roman"/>
          <w:sz w:val="20"/>
          <w:szCs w:val="20"/>
        </w:rPr>
        <w:t xml:space="preserve"> тис. грн.</w:t>
      </w:r>
    </w:p>
    <w:p w:rsidR="007818CF" w:rsidRPr="000572AB" w:rsidRDefault="00725C3A" w:rsidP="00D542E2">
      <w:pPr>
        <w:pStyle w:val="a2"/>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н</w:t>
      </w:r>
      <w:r w:rsidR="006419B3" w:rsidRPr="000572AB">
        <w:rPr>
          <w:rFonts w:ascii="Times New Roman" w:hAnsi="Times New Roman"/>
          <w:sz w:val="20"/>
          <w:szCs w:val="20"/>
        </w:rPr>
        <w:t>е</w:t>
      </w:r>
      <w:r w:rsidR="008320E7" w:rsidRPr="000572AB">
        <w:rPr>
          <w:rFonts w:ascii="Times New Roman" w:hAnsi="Times New Roman"/>
          <w:sz w:val="20"/>
          <w:szCs w:val="20"/>
        </w:rPr>
        <w:t xml:space="preserve">покритий збиток </w:t>
      </w:r>
      <w:r w:rsidRPr="000572AB">
        <w:rPr>
          <w:rFonts w:ascii="Times New Roman" w:hAnsi="Times New Roman"/>
          <w:sz w:val="20"/>
          <w:szCs w:val="20"/>
        </w:rPr>
        <w:t>-</w:t>
      </w:r>
      <w:r w:rsidR="007818CF" w:rsidRPr="000572AB">
        <w:rPr>
          <w:rFonts w:ascii="Times New Roman" w:hAnsi="Times New Roman"/>
          <w:sz w:val="20"/>
          <w:szCs w:val="20"/>
        </w:rPr>
        <w:t xml:space="preserve">  </w:t>
      </w:r>
      <w:r w:rsidR="008320E7" w:rsidRPr="000572AB">
        <w:rPr>
          <w:rFonts w:ascii="Times New Roman" w:hAnsi="Times New Roman"/>
          <w:sz w:val="20"/>
          <w:szCs w:val="20"/>
        </w:rPr>
        <w:t>(17 892)</w:t>
      </w:r>
      <w:r w:rsidR="007818CF" w:rsidRPr="000572AB">
        <w:rPr>
          <w:rFonts w:ascii="Times New Roman" w:hAnsi="Times New Roman"/>
          <w:sz w:val="20"/>
          <w:szCs w:val="20"/>
        </w:rPr>
        <w:t xml:space="preserve"> тис. грн. </w:t>
      </w:r>
    </w:p>
    <w:p w:rsidR="007818CF" w:rsidRPr="000572AB" w:rsidRDefault="007818CF" w:rsidP="00D542E2">
      <w:pPr>
        <w:pStyle w:val="a2"/>
        <w:spacing w:after="0" w:line="240" w:lineRule="auto"/>
        <w:ind w:firstLine="709"/>
        <w:contextualSpacing/>
        <w:jc w:val="both"/>
        <w:rPr>
          <w:rFonts w:ascii="Times New Roman" w:hAnsi="Times New Roman"/>
          <w:sz w:val="20"/>
          <w:szCs w:val="20"/>
        </w:rPr>
      </w:pPr>
      <w:r w:rsidRPr="000572AB">
        <w:rPr>
          <w:rFonts w:ascii="Times New Roman" w:hAnsi="Times New Roman"/>
          <w:sz w:val="20"/>
          <w:szCs w:val="20"/>
        </w:rPr>
        <w:t>Загальна сума власного капіталу То</w:t>
      </w:r>
      <w:r w:rsidR="00876C81" w:rsidRPr="000572AB">
        <w:rPr>
          <w:rFonts w:ascii="Times New Roman" w:hAnsi="Times New Roman"/>
          <w:sz w:val="20"/>
          <w:szCs w:val="20"/>
        </w:rPr>
        <w:t>вариства становить на 31.12.201</w:t>
      </w:r>
      <w:r w:rsidR="004B043C" w:rsidRPr="000572AB">
        <w:rPr>
          <w:rFonts w:ascii="Times New Roman" w:hAnsi="Times New Roman"/>
          <w:sz w:val="20"/>
          <w:szCs w:val="20"/>
        </w:rPr>
        <w:t>7</w:t>
      </w:r>
      <w:r w:rsidRPr="000572AB">
        <w:rPr>
          <w:rFonts w:ascii="Times New Roman" w:hAnsi="Times New Roman"/>
          <w:sz w:val="20"/>
          <w:szCs w:val="20"/>
        </w:rPr>
        <w:t xml:space="preserve"> р. –</w:t>
      </w:r>
      <w:r w:rsidR="008320E7" w:rsidRPr="000572AB">
        <w:rPr>
          <w:rFonts w:ascii="Times New Roman" w:hAnsi="Times New Roman"/>
          <w:sz w:val="20"/>
          <w:szCs w:val="20"/>
        </w:rPr>
        <w:t>86 224</w:t>
      </w:r>
      <w:r w:rsidRPr="000572AB">
        <w:rPr>
          <w:rFonts w:ascii="Times New Roman" w:hAnsi="Times New Roman"/>
          <w:sz w:val="20"/>
          <w:szCs w:val="20"/>
        </w:rPr>
        <w:t xml:space="preserve"> тис. грн. </w:t>
      </w:r>
    </w:p>
    <w:p w:rsidR="006419B3" w:rsidRPr="000572AB" w:rsidRDefault="006419B3" w:rsidP="00D542E2">
      <w:pPr>
        <w:pStyle w:val="a2"/>
        <w:spacing w:after="0" w:line="240" w:lineRule="auto"/>
        <w:ind w:firstLine="709"/>
        <w:contextualSpacing/>
        <w:jc w:val="both"/>
        <w:rPr>
          <w:rFonts w:ascii="Times New Roman" w:hAnsi="Times New Roman"/>
          <w:sz w:val="20"/>
          <w:szCs w:val="20"/>
        </w:rPr>
      </w:pPr>
    </w:p>
    <w:p w:rsidR="006419B3" w:rsidRPr="000572AB" w:rsidRDefault="006419B3" w:rsidP="00D542E2">
      <w:pPr>
        <w:pStyle w:val="a"/>
        <w:rPr>
          <w:sz w:val="20"/>
          <w:szCs w:val="20"/>
        </w:rPr>
      </w:pPr>
      <w:r w:rsidRPr="000572AB">
        <w:rPr>
          <w:sz w:val="20"/>
          <w:szCs w:val="20"/>
        </w:rPr>
        <w:t>Вплив інфляції на монетарні статті</w:t>
      </w:r>
    </w:p>
    <w:p w:rsidR="006419B3" w:rsidRPr="000572AB" w:rsidRDefault="00962713" w:rsidP="00D542E2">
      <w:pPr>
        <w:pStyle w:val="a2"/>
        <w:spacing w:after="0" w:line="240" w:lineRule="auto"/>
        <w:ind w:firstLine="709"/>
        <w:jc w:val="both"/>
        <w:rPr>
          <w:rFonts w:ascii="Times New Roman" w:hAnsi="Times New Roman"/>
          <w:sz w:val="20"/>
          <w:szCs w:val="20"/>
        </w:rPr>
      </w:pPr>
      <w:r w:rsidRPr="000572AB">
        <w:rPr>
          <w:rFonts w:ascii="Times New Roman" w:hAnsi="Times New Roman"/>
          <w:sz w:val="20"/>
          <w:szCs w:val="20"/>
        </w:rPr>
        <w:t>Коригування статей фінансової звітності на індекс інфляції відповідно до МСБО 29 “Фінансова звітність в умовах гіперінфляції” не проведено.</w:t>
      </w:r>
    </w:p>
    <w:p w:rsidR="006419B3" w:rsidRPr="000572AB" w:rsidRDefault="006419B3" w:rsidP="00D542E2">
      <w:pPr>
        <w:pStyle w:val="ae"/>
        <w:ind w:firstLine="709"/>
        <w:jc w:val="both"/>
        <w:rPr>
          <w:rFonts w:ascii="Times New Roman" w:hAnsi="Times New Roman"/>
          <w:b/>
          <w:bCs/>
          <w:sz w:val="20"/>
          <w:szCs w:val="20"/>
          <w:lang w:eastAsia="ru-RU"/>
        </w:rPr>
      </w:pPr>
    </w:p>
    <w:p w:rsidR="006419B3" w:rsidRPr="000572AB" w:rsidRDefault="006419B3" w:rsidP="00D542E2">
      <w:pPr>
        <w:pStyle w:val="a"/>
        <w:rPr>
          <w:sz w:val="20"/>
          <w:szCs w:val="20"/>
        </w:rPr>
      </w:pPr>
      <w:r w:rsidRPr="000572AB">
        <w:rPr>
          <w:sz w:val="20"/>
          <w:szCs w:val="20"/>
        </w:rPr>
        <w:t>Оподаткування</w:t>
      </w:r>
    </w:p>
    <w:p w:rsidR="006419B3" w:rsidRPr="000572AB" w:rsidRDefault="006419B3" w:rsidP="00D542E2">
      <w:pPr>
        <w:pStyle w:val="11"/>
        <w:shd w:val="clear" w:color="auto" w:fill="auto"/>
        <w:spacing w:before="0" w:after="0" w:line="240" w:lineRule="auto"/>
        <w:ind w:firstLine="709"/>
        <w:jc w:val="both"/>
        <w:rPr>
          <w:sz w:val="20"/>
          <w:szCs w:val="20"/>
          <w:lang w:eastAsia="uk-UA"/>
        </w:rPr>
      </w:pPr>
      <w:r w:rsidRPr="000572AB">
        <w:rPr>
          <w:sz w:val="20"/>
          <w:szCs w:val="20"/>
          <w:lang w:eastAsia="uk-UA"/>
        </w:rPr>
        <w:t>Витрати (доходи) з податку на прибуток визначаються і відображаються у фінансовій звітності Товариства відповідно до МСБО 12 «Податки на прибуток».</w:t>
      </w:r>
    </w:p>
    <w:p w:rsidR="006419B3" w:rsidRPr="000572AB" w:rsidRDefault="006419B3" w:rsidP="00D542E2">
      <w:pPr>
        <w:pStyle w:val="11"/>
        <w:shd w:val="clear" w:color="auto" w:fill="auto"/>
        <w:spacing w:before="0" w:after="0" w:line="240" w:lineRule="auto"/>
        <w:ind w:firstLine="709"/>
        <w:jc w:val="both"/>
        <w:rPr>
          <w:sz w:val="20"/>
          <w:szCs w:val="20"/>
          <w:lang w:eastAsia="uk-UA"/>
        </w:rPr>
      </w:pPr>
      <w:r w:rsidRPr="000572AB">
        <w:rPr>
          <w:sz w:val="20"/>
          <w:szCs w:val="20"/>
          <w:lang w:eastAsia="uk-UA"/>
        </w:rPr>
        <w:t>Доходи з податку на прибуток, що відображаються у звіті про фінансові результати, складаються із сум поточного та відстроченого податку на прибуток.</w:t>
      </w:r>
    </w:p>
    <w:p w:rsidR="006419B3" w:rsidRPr="000572AB" w:rsidRDefault="006419B3" w:rsidP="00D542E2">
      <w:pPr>
        <w:pStyle w:val="11"/>
        <w:shd w:val="clear" w:color="auto" w:fill="auto"/>
        <w:spacing w:before="0" w:after="0" w:line="240" w:lineRule="auto"/>
        <w:ind w:firstLine="709"/>
        <w:jc w:val="both"/>
        <w:rPr>
          <w:sz w:val="20"/>
          <w:szCs w:val="20"/>
          <w:lang w:eastAsia="uk-UA"/>
        </w:rPr>
      </w:pPr>
      <w:r w:rsidRPr="000572AB">
        <w:rPr>
          <w:sz w:val="20"/>
          <w:szCs w:val="20"/>
          <w:lang w:eastAsia="uk-UA"/>
        </w:rPr>
        <w:t>Поточний податок на прибуток визначається виходячи з оподатковуваного прибутку за рік, розрахованої за правилами податкового законодавства України.</w:t>
      </w:r>
    </w:p>
    <w:p w:rsidR="006419B3" w:rsidRPr="000572AB" w:rsidRDefault="006419B3" w:rsidP="00D542E2">
      <w:pPr>
        <w:pStyle w:val="11"/>
        <w:shd w:val="clear" w:color="auto" w:fill="auto"/>
        <w:spacing w:before="0" w:after="0" w:line="240" w:lineRule="auto"/>
        <w:ind w:firstLine="709"/>
        <w:jc w:val="both"/>
        <w:rPr>
          <w:sz w:val="20"/>
          <w:szCs w:val="20"/>
          <w:lang w:eastAsia="uk-UA"/>
        </w:rPr>
      </w:pPr>
      <w:r w:rsidRPr="000572AB">
        <w:rPr>
          <w:sz w:val="20"/>
          <w:szCs w:val="20"/>
          <w:lang w:eastAsia="uk-UA"/>
        </w:rPr>
        <w:t>Відстрочені податкові активи - це суми податків на прибуток, що підлягають відшкодуванню в майбутніх періодах відповідно до:</w:t>
      </w:r>
    </w:p>
    <w:p w:rsidR="006419B3" w:rsidRPr="000572AB" w:rsidRDefault="006419B3" w:rsidP="00D542E2">
      <w:pPr>
        <w:pStyle w:val="11"/>
        <w:shd w:val="clear" w:color="auto" w:fill="auto"/>
        <w:spacing w:before="0" w:after="0" w:line="240" w:lineRule="auto"/>
        <w:ind w:firstLine="709"/>
        <w:jc w:val="both"/>
        <w:rPr>
          <w:sz w:val="20"/>
          <w:szCs w:val="20"/>
          <w:lang w:eastAsia="uk-UA"/>
        </w:rPr>
      </w:pPr>
      <w:r w:rsidRPr="000572AB">
        <w:rPr>
          <w:sz w:val="20"/>
          <w:szCs w:val="20"/>
          <w:lang w:eastAsia="uk-UA"/>
        </w:rPr>
        <w:lastRenderedPageBreak/>
        <w:t>а) тимчасових різниць, що підлягають вирахуванню;</w:t>
      </w:r>
    </w:p>
    <w:p w:rsidR="006419B3" w:rsidRPr="000572AB" w:rsidRDefault="006419B3" w:rsidP="00D542E2">
      <w:pPr>
        <w:pStyle w:val="11"/>
        <w:shd w:val="clear" w:color="auto" w:fill="auto"/>
        <w:spacing w:before="0" w:after="0" w:line="240" w:lineRule="auto"/>
        <w:ind w:firstLine="709"/>
        <w:jc w:val="both"/>
        <w:rPr>
          <w:sz w:val="20"/>
          <w:szCs w:val="20"/>
          <w:lang w:eastAsia="uk-UA"/>
        </w:rPr>
      </w:pPr>
      <w:r w:rsidRPr="000572AB">
        <w:rPr>
          <w:sz w:val="20"/>
          <w:szCs w:val="20"/>
          <w:lang w:eastAsia="uk-UA"/>
        </w:rPr>
        <w:t>б)</w:t>
      </w:r>
      <w:r w:rsidR="00051698" w:rsidRPr="000572AB">
        <w:rPr>
          <w:sz w:val="20"/>
          <w:szCs w:val="20"/>
          <w:lang w:eastAsia="uk-UA"/>
        </w:rPr>
        <w:t xml:space="preserve"> </w:t>
      </w:r>
      <w:r w:rsidRPr="000572AB">
        <w:rPr>
          <w:sz w:val="20"/>
          <w:szCs w:val="20"/>
          <w:lang w:eastAsia="uk-UA"/>
        </w:rPr>
        <w:t>перенесення невикористаних податкових збитків на майбутні періоди;</w:t>
      </w:r>
    </w:p>
    <w:p w:rsidR="006419B3" w:rsidRPr="000572AB" w:rsidRDefault="006419B3" w:rsidP="00D542E2">
      <w:pPr>
        <w:pStyle w:val="11"/>
        <w:shd w:val="clear" w:color="auto" w:fill="auto"/>
        <w:spacing w:before="0" w:after="0" w:line="240" w:lineRule="auto"/>
        <w:ind w:firstLine="709"/>
        <w:jc w:val="both"/>
        <w:rPr>
          <w:sz w:val="20"/>
          <w:szCs w:val="20"/>
          <w:lang w:eastAsia="uk-UA"/>
        </w:rPr>
      </w:pPr>
      <w:r w:rsidRPr="000572AB">
        <w:rPr>
          <w:sz w:val="20"/>
          <w:szCs w:val="20"/>
          <w:lang w:eastAsia="uk-UA"/>
        </w:rPr>
        <w:t>в) перенесення невикористаних податкових пільг на майбутні періоди.</w:t>
      </w:r>
    </w:p>
    <w:p w:rsidR="006419B3" w:rsidRPr="000572AB" w:rsidRDefault="006419B3" w:rsidP="00D542E2">
      <w:pPr>
        <w:pStyle w:val="11"/>
        <w:shd w:val="clear" w:color="auto" w:fill="auto"/>
        <w:tabs>
          <w:tab w:val="left" w:pos="2334"/>
        </w:tabs>
        <w:spacing w:before="0" w:after="0" w:line="240" w:lineRule="auto"/>
        <w:ind w:firstLine="709"/>
        <w:jc w:val="both"/>
        <w:rPr>
          <w:sz w:val="20"/>
          <w:szCs w:val="20"/>
          <w:lang w:eastAsia="uk-UA"/>
        </w:rPr>
      </w:pPr>
      <w:r w:rsidRPr="000572AB">
        <w:rPr>
          <w:sz w:val="20"/>
          <w:szCs w:val="20"/>
          <w:lang w:eastAsia="uk-UA"/>
        </w:rPr>
        <w:t>Тимчасові різниці - це різниці між балансовою вартістю активу чи зобов'язання в звіті про фінансовий стан та їх податковою базою.</w:t>
      </w:r>
    </w:p>
    <w:p w:rsidR="006419B3" w:rsidRPr="000572AB" w:rsidRDefault="006419B3" w:rsidP="00D542E2">
      <w:pPr>
        <w:pStyle w:val="11"/>
        <w:shd w:val="clear" w:color="auto" w:fill="auto"/>
        <w:spacing w:before="0" w:after="0" w:line="240" w:lineRule="auto"/>
        <w:ind w:firstLine="709"/>
        <w:jc w:val="both"/>
        <w:rPr>
          <w:sz w:val="20"/>
          <w:szCs w:val="20"/>
          <w:lang w:eastAsia="uk-UA"/>
        </w:rPr>
      </w:pPr>
      <w:r w:rsidRPr="000572AB">
        <w:rPr>
          <w:sz w:val="20"/>
          <w:szCs w:val="20"/>
          <w:lang w:eastAsia="uk-UA"/>
        </w:rPr>
        <w:t>Тимчасові різниці можуть бути:</w:t>
      </w:r>
    </w:p>
    <w:p w:rsidR="006419B3" w:rsidRPr="000572AB" w:rsidRDefault="006419B3" w:rsidP="00D542E2">
      <w:pPr>
        <w:pStyle w:val="11"/>
        <w:shd w:val="clear" w:color="auto" w:fill="auto"/>
        <w:spacing w:before="0" w:after="0" w:line="240" w:lineRule="auto"/>
        <w:ind w:firstLine="709"/>
        <w:jc w:val="both"/>
        <w:rPr>
          <w:sz w:val="20"/>
          <w:szCs w:val="20"/>
          <w:lang w:eastAsia="uk-UA"/>
        </w:rPr>
      </w:pPr>
      <w:r w:rsidRPr="000572AB">
        <w:rPr>
          <w:bCs/>
          <w:i/>
          <w:iCs/>
          <w:sz w:val="20"/>
          <w:szCs w:val="20"/>
        </w:rPr>
        <w:t>а) тимчасовими різницями, що підлягають оподаткуванню</w:t>
      </w:r>
      <w:r w:rsidRPr="000572AB">
        <w:rPr>
          <w:b/>
          <w:bCs/>
          <w:i/>
          <w:iCs/>
          <w:sz w:val="20"/>
          <w:szCs w:val="20"/>
        </w:rPr>
        <w:t xml:space="preserve"> -</w:t>
      </w:r>
      <w:r w:rsidRPr="000572AB">
        <w:rPr>
          <w:sz w:val="20"/>
          <w:szCs w:val="20"/>
          <w:lang w:eastAsia="uk-UA"/>
        </w:rPr>
        <w:t xml:space="preserve"> тимчасові різниці, які при визначенні суми оподаткованого прибутку (податкового збитку) майбутніх періодів спричинить виникнення сум, що підлягають оподаткуванню, коли балансова вартість активу або зобов'язання відшкодовується чи погашається;</w:t>
      </w:r>
    </w:p>
    <w:p w:rsidR="006419B3" w:rsidRPr="000572AB" w:rsidRDefault="006419B3" w:rsidP="00D542E2">
      <w:pPr>
        <w:pStyle w:val="11"/>
        <w:shd w:val="clear" w:color="auto" w:fill="auto"/>
        <w:spacing w:before="0" w:after="0" w:line="240" w:lineRule="auto"/>
        <w:ind w:firstLine="709"/>
        <w:jc w:val="both"/>
        <w:rPr>
          <w:sz w:val="20"/>
          <w:szCs w:val="20"/>
          <w:lang w:eastAsia="uk-UA"/>
        </w:rPr>
      </w:pPr>
      <w:r w:rsidRPr="000572AB">
        <w:rPr>
          <w:bCs/>
          <w:i/>
          <w:iCs/>
          <w:sz w:val="20"/>
          <w:szCs w:val="20"/>
        </w:rPr>
        <w:t>б) тимчасовими різницями, що підлягають вирахуванню</w:t>
      </w:r>
      <w:r w:rsidRPr="000572AB">
        <w:rPr>
          <w:b/>
          <w:bCs/>
          <w:i/>
          <w:iCs/>
          <w:sz w:val="20"/>
          <w:szCs w:val="20"/>
        </w:rPr>
        <w:t xml:space="preserve"> -</w:t>
      </w:r>
      <w:r w:rsidRPr="000572AB">
        <w:rPr>
          <w:sz w:val="20"/>
          <w:szCs w:val="20"/>
          <w:lang w:eastAsia="uk-UA"/>
        </w:rPr>
        <w:t xml:space="preserve"> тимчасові різниці, які при визначенні суми оподаткованого прибутку (податкового збитку) майбутніх періодів спричинить виникнення сум, що підлягають вирахуванню, коли балансова вартість активу чи зобов'язання відшкодовується або погашається.</w:t>
      </w:r>
    </w:p>
    <w:p w:rsidR="006419B3" w:rsidRPr="000572AB" w:rsidRDefault="006419B3" w:rsidP="00D542E2">
      <w:pPr>
        <w:pStyle w:val="11"/>
        <w:shd w:val="clear" w:color="auto" w:fill="auto"/>
        <w:spacing w:before="0" w:after="0" w:line="240" w:lineRule="auto"/>
        <w:ind w:firstLine="709"/>
        <w:jc w:val="both"/>
        <w:rPr>
          <w:sz w:val="20"/>
          <w:szCs w:val="20"/>
          <w:lang w:eastAsia="uk-UA"/>
        </w:rPr>
      </w:pPr>
      <w:r w:rsidRPr="000572AB">
        <w:rPr>
          <w:sz w:val="20"/>
          <w:szCs w:val="20"/>
          <w:lang w:eastAsia="uk-UA"/>
        </w:rPr>
        <w:t>Податкова база активу або зобов'язання - це сума, яка використовується для цілей оподаткування цього активу або зобов'язання.</w:t>
      </w:r>
    </w:p>
    <w:p w:rsidR="006419B3" w:rsidRPr="000572AB" w:rsidRDefault="006419B3" w:rsidP="00D542E2">
      <w:pPr>
        <w:pStyle w:val="11"/>
        <w:shd w:val="clear" w:color="auto" w:fill="auto"/>
        <w:spacing w:before="0" w:after="0" w:line="240" w:lineRule="auto"/>
        <w:ind w:firstLine="709"/>
        <w:jc w:val="both"/>
        <w:rPr>
          <w:sz w:val="20"/>
          <w:szCs w:val="20"/>
          <w:lang w:eastAsia="uk-UA"/>
        </w:rPr>
      </w:pPr>
      <w:r w:rsidRPr="000572AB">
        <w:rPr>
          <w:sz w:val="20"/>
          <w:szCs w:val="20"/>
          <w:lang w:eastAsia="uk-UA"/>
        </w:rPr>
        <w:t>Відстрочений податок визнається у сумі, яка, як очікується, буде сплачена або відшкодована в зв'язку з наявністю різниці між балансовою вартістю активів та зобов'язань, відображених у фінансовій звітності, та відповідними податковими базами активів і зобов'язань. Відстрочені податки на прибуток розраховуються за тимчасовими різницями з використанням балансового методу обліку зобов'язань.</w:t>
      </w:r>
    </w:p>
    <w:p w:rsidR="006419B3" w:rsidRPr="000572AB" w:rsidRDefault="006419B3" w:rsidP="00D542E2">
      <w:pPr>
        <w:pStyle w:val="11"/>
        <w:shd w:val="clear" w:color="auto" w:fill="auto"/>
        <w:spacing w:before="0" w:after="0" w:line="240" w:lineRule="auto"/>
        <w:ind w:firstLine="709"/>
        <w:jc w:val="both"/>
        <w:rPr>
          <w:sz w:val="20"/>
          <w:szCs w:val="20"/>
          <w:lang w:eastAsia="uk-UA"/>
        </w:rPr>
      </w:pPr>
      <w:r w:rsidRPr="000572AB">
        <w:rPr>
          <w:sz w:val="20"/>
          <w:szCs w:val="20"/>
          <w:lang w:eastAsia="uk-UA"/>
        </w:rPr>
        <w:t>Відстрочені податкові активи розраховуються за податковим ставкам, які, як очікуються, будуть застосовні в періоді, коли будуть реалізовані активи або погашені на основі податкових ставок, що діяли на звітну дату, або про введення яких в дію в найближчому майбутньому було достовірно відомо за станом на звітну дату.</w:t>
      </w:r>
    </w:p>
    <w:p w:rsidR="006419B3" w:rsidRPr="000572AB" w:rsidRDefault="006419B3" w:rsidP="00D542E2">
      <w:pPr>
        <w:pStyle w:val="11"/>
        <w:shd w:val="clear" w:color="auto" w:fill="auto"/>
        <w:spacing w:before="0" w:after="0" w:line="240" w:lineRule="auto"/>
        <w:ind w:firstLine="709"/>
        <w:jc w:val="both"/>
        <w:rPr>
          <w:sz w:val="20"/>
          <w:szCs w:val="20"/>
          <w:lang w:eastAsia="uk-UA"/>
        </w:rPr>
      </w:pPr>
      <w:r w:rsidRPr="000572AB">
        <w:rPr>
          <w:sz w:val="20"/>
          <w:szCs w:val="20"/>
          <w:lang w:eastAsia="uk-UA"/>
        </w:rPr>
        <w:t>Відстрочені податкові активи відображаються лише в тому випадку, якщо існує ймовірність того, що наявність майбутнього оподатковуваного прибутку дозволить реалізувати відстрочені податкові активи.</w:t>
      </w:r>
    </w:p>
    <w:p w:rsidR="0002441A" w:rsidRPr="000572AB" w:rsidRDefault="0002441A" w:rsidP="00D542E2">
      <w:pPr>
        <w:pStyle w:val="11"/>
        <w:shd w:val="clear" w:color="auto" w:fill="auto"/>
        <w:spacing w:before="0" w:after="0" w:line="240" w:lineRule="auto"/>
        <w:ind w:firstLine="709"/>
        <w:jc w:val="both"/>
        <w:rPr>
          <w:sz w:val="20"/>
          <w:szCs w:val="20"/>
          <w:lang w:eastAsia="uk-UA"/>
        </w:rPr>
      </w:pPr>
      <w:r w:rsidRPr="000572AB">
        <w:rPr>
          <w:sz w:val="20"/>
          <w:szCs w:val="20"/>
          <w:lang w:eastAsia="uk-UA"/>
        </w:rPr>
        <w:t>Витрати з податку на прибу</w:t>
      </w:r>
      <w:r w:rsidR="00864D7D" w:rsidRPr="000572AB">
        <w:rPr>
          <w:sz w:val="20"/>
          <w:szCs w:val="20"/>
          <w:lang w:eastAsia="uk-UA"/>
        </w:rPr>
        <w:t>ток за 201</w:t>
      </w:r>
      <w:r w:rsidR="00751FDF" w:rsidRPr="000572AB">
        <w:rPr>
          <w:sz w:val="20"/>
          <w:szCs w:val="20"/>
          <w:lang w:eastAsia="uk-UA"/>
        </w:rPr>
        <w:t>7</w:t>
      </w:r>
      <w:r w:rsidRPr="000572AB">
        <w:rPr>
          <w:sz w:val="20"/>
          <w:szCs w:val="20"/>
          <w:lang w:eastAsia="uk-UA"/>
        </w:rPr>
        <w:t xml:space="preserve"> рік становлять </w:t>
      </w:r>
      <w:r w:rsidR="00725C3A" w:rsidRPr="000572AB">
        <w:rPr>
          <w:sz w:val="20"/>
          <w:szCs w:val="20"/>
          <w:lang w:eastAsia="uk-UA"/>
        </w:rPr>
        <w:t>9</w:t>
      </w:r>
      <w:r w:rsidR="00DD745B" w:rsidRPr="000572AB">
        <w:rPr>
          <w:sz w:val="20"/>
          <w:szCs w:val="20"/>
          <w:lang w:eastAsia="uk-UA"/>
        </w:rPr>
        <w:t>8</w:t>
      </w:r>
      <w:r w:rsidRPr="000572AB">
        <w:rPr>
          <w:sz w:val="20"/>
          <w:szCs w:val="20"/>
          <w:lang w:eastAsia="uk-UA"/>
        </w:rPr>
        <w:t xml:space="preserve"> тис. грн. і складаються із поточного податку на прибуток. Відстрочені податкові активи та зобов'язання у Товариства відсутні у зв'язку</w:t>
      </w:r>
      <w:r w:rsidR="00936891" w:rsidRPr="000572AB">
        <w:rPr>
          <w:sz w:val="20"/>
          <w:szCs w:val="20"/>
          <w:lang w:eastAsia="uk-UA"/>
        </w:rPr>
        <w:t xml:space="preserve"> із відсутністю різниць між балансовою вартістю активу чи зобов’язання в звіті про фінансови</w:t>
      </w:r>
      <w:r w:rsidR="00DD745B" w:rsidRPr="000572AB">
        <w:rPr>
          <w:sz w:val="20"/>
          <w:szCs w:val="20"/>
          <w:lang w:eastAsia="uk-UA"/>
        </w:rPr>
        <w:t>й стан та їх</w:t>
      </w:r>
      <w:r w:rsidR="00936891" w:rsidRPr="000572AB">
        <w:rPr>
          <w:sz w:val="20"/>
          <w:szCs w:val="20"/>
          <w:lang w:eastAsia="uk-UA"/>
        </w:rPr>
        <w:t xml:space="preserve"> податковою базою</w:t>
      </w:r>
      <w:r w:rsidR="002E57DE" w:rsidRPr="000572AB">
        <w:rPr>
          <w:rStyle w:val="apple-converted-space"/>
          <w:color w:val="000000"/>
          <w:sz w:val="20"/>
          <w:szCs w:val="20"/>
          <w:shd w:val="clear" w:color="auto" w:fill="FFFFFF"/>
        </w:rPr>
        <w:t>.</w:t>
      </w:r>
    </w:p>
    <w:p w:rsidR="006419B3" w:rsidRPr="000572AB" w:rsidRDefault="006419B3" w:rsidP="00D542E2">
      <w:pPr>
        <w:pStyle w:val="a7"/>
        <w:spacing w:before="0" w:beforeAutospacing="0" w:after="0" w:afterAutospacing="0"/>
        <w:ind w:firstLine="709"/>
        <w:contextualSpacing/>
        <w:jc w:val="both"/>
        <w:rPr>
          <w:sz w:val="20"/>
          <w:szCs w:val="20"/>
        </w:rPr>
      </w:pPr>
    </w:p>
    <w:p w:rsidR="006419B3" w:rsidRPr="000572AB" w:rsidRDefault="006419B3" w:rsidP="00D542E2">
      <w:pPr>
        <w:pStyle w:val="a"/>
        <w:rPr>
          <w:sz w:val="20"/>
          <w:szCs w:val="20"/>
        </w:rPr>
      </w:pPr>
      <w:r w:rsidRPr="000572AB">
        <w:rPr>
          <w:sz w:val="20"/>
          <w:szCs w:val="20"/>
        </w:rPr>
        <w:t>Розкриття інформації щодо зв'язаних сторін згідно МСБО 24</w:t>
      </w:r>
    </w:p>
    <w:p w:rsidR="006419B3" w:rsidRPr="000572AB" w:rsidRDefault="006419B3" w:rsidP="00D542E2">
      <w:pPr>
        <w:pStyle w:val="a2"/>
        <w:spacing w:after="0" w:line="240" w:lineRule="auto"/>
        <w:ind w:firstLine="709"/>
        <w:jc w:val="both"/>
        <w:rPr>
          <w:rFonts w:ascii="Times New Roman" w:hAnsi="Times New Roman"/>
          <w:sz w:val="20"/>
          <w:szCs w:val="20"/>
          <w:lang w:eastAsia="uk-UA"/>
        </w:rPr>
      </w:pPr>
      <w:r w:rsidRPr="000572AB">
        <w:rPr>
          <w:rFonts w:ascii="Times New Roman" w:hAnsi="Times New Roman"/>
          <w:sz w:val="20"/>
          <w:szCs w:val="20"/>
          <w:lang w:eastAsia="uk-UA"/>
        </w:rPr>
        <w:t xml:space="preserve">Зв'язаними  вважають сторони, одна з яких має можливість контролювати іншу або здійснювати суттєвий вплив на прийняття фінансових та операційних рішень іншою стороною, як це визначено в МСБО 24 «Розкриття інформації щодо зв'язаних сторін». Рішення про те які сторони являються зв'язаними приймають не тільки на основі їх юридичної форми, але і виходячи з характеру стосунків зв'язаними сторін. </w:t>
      </w:r>
    </w:p>
    <w:p w:rsidR="00A01440" w:rsidRPr="000572AB" w:rsidRDefault="00A01440" w:rsidP="00D542E2">
      <w:pPr>
        <w:pStyle w:val="11"/>
        <w:shd w:val="clear" w:color="auto" w:fill="auto"/>
        <w:spacing w:before="0" w:after="0" w:line="240" w:lineRule="auto"/>
        <w:ind w:firstLine="709"/>
        <w:jc w:val="both"/>
        <w:rPr>
          <w:sz w:val="20"/>
          <w:szCs w:val="20"/>
        </w:rPr>
      </w:pPr>
      <w:r w:rsidRPr="000572AB">
        <w:rPr>
          <w:sz w:val="20"/>
          <w:szCs w:val="20"/>
        </w:rPr>
        <w:t>Пов’язаними сторонами для ТОВ «</w:t>
      </w:r>
      <w:r w:rsidR="00597424" w:rsidRPr="000572AB">
        <w:rPr>
          <w:sz w:val="20"/>
          <w:szCs w:val="20"/>
        </w:rPr>
        <w:t xml:space="preserve">КРЕДО – СТОЛИЦЯ </w:t>
      </w:r>
      <w:r w:rsidRPr="000572AB">
        <w:rPr>
          <w:sz w:val="20"/>
          <w:szCs w:val="20"/>
        </w:rPr>
        <w:t>» є:</w:t>
      </w:r>
    </w:p>
    <w:p w:rsidR="00B85F4B" w:rsidRPr="000572AB" w:rsidRDefault="00A01440" w:rsidP="00D542E2">
      <w:pPr>
        <w:pStyle w:val="11"/>
        <w:widowControl/>
        <w:numPr>
          <w:ilvl w:val="0"/>
          <w:numId w:val="30"/>
        </w:numPr>
        <w:shd w:val="clear" w:color="auto" w:fill="auto"/>
        <w:spacing w:before="0" w:after="0" w:line="240" w:lineRule="auto"/>
        <w:jc w:val="both"/>
        <w:rPr>
          <w:rStyle w:val="80"/>
          <w:i w:val="0"/>
          <w:iCs w:val="0"/>
          <w:sz w:val="20"/>
          <w:szCs w:val="20"/>
          <w:shd w:val="clear" w:color="auto" w:fill="auto"/>
        </w:rPr>
      </w:pPr>
      <w:r w:rsidRPr="000572AB">
        <w:rPr>
          <w:sz w:val="20"/>
          <w:szCs w:val="20"/>
        </w:rPr>
        <w:t xml:space="preserve">Засновник (учасник) </w:t>
      </w:r>
      <w:r w:rsidR="008320E7" w:rsidRPr="000572AB">
        <w:rPr>
          <w:sz w:val="20"/>
          <w:szCs w:val="20"/>
        </w:rPr>
        <w:t>Товариства ТОВ «</w:t>
      </w:r>
      <w:r w:rsidR="008320E7" w:rsidRPr="000572AB">
        <w:rPr>
          <w:sz w:val="20"/>
          <w:szCs w:val="20"/>
          <w:lang w:eastAsia="uk-UA"/>
        </w:rPr>
        <w:t>УКРАЇНСЬКА ПРАВНИЧА КОМПАНІЯ</w:t>
      </w:r>
      <w:r w:rsidR="008320E7" w:rsidRPr="000572AB">
        <w:rPr>
          <w:sz w:val="20"/>
          <w:szCs w:val="20"/>
        </w:rPr>
        <w:t>»</w:t>
      </w:r>
      <w:r w:rsidRPr="000572AB">
        <w:rPr>
          <w:sz w:val="20"/>
          <w:szCs w:val="20"/>
        </w:rPr>
        <w:t xml:space="preserve">», код ЄДРПОУ </w:t>
      </w:r>
      <w:r w:rsidR="00E2091F" w:rsidRPr="000572AB">
        <w:rPr>
          <w:rStyle w:val="80"/>
          <w:rFonts w:eastAsia="Calibri"/>
          <w:i w:val="0"/>
          <w:sz w:val="20"/>
          <w:szCs w:val="20"/>
          <w:lang w:val="ru-RU" w:eastAsia="uk-UA"/>
        </w:rPr>
        <w:t>32597084</w:t>
      </w:r>
      <w:r w:rsidR="00D31FCB" w:rsidRPr="000572AB">
        <w:rPr>
          <w:rStyle w:val="80"/>
          <w:rFonts w:eastAsia="Calibri"/>
          <w:i w:val="0"/>
          <w:sz w:val="20"/>
          <w:szCs w:val="20"/>
          <w:lang w:val="ru-RU" w:eastAsia="uk-UA"/>
        </w:rPr>
        <w:t>;</w:t>
      </w:r>
    </w:p>
    <w:p w:rsidR="00A01440" w:rsidRPr="000572AB" w:rsidRDefault="00A01440" w:rsidP="00D542E2">
      <w:pPr>
        <w:pStyle w:val="11"/>
        <w:widowControl/>
        <w:numPr>
          <w:ilvl w:val="0"/>
          <w:numId w:val="30"/>
        </w:numPr>
        <w:shd w:val="clear" w:color="auto" w:fill="auto"/>
        <w:spacing w:before="0" w:after="0" w:line="240" w:lineRule="auto"/>
        <w:jc w:val="both"/>
        <w:rPr>
          <w:sz w:val="20"/>
          <w:szCs w:val="20"/>
        </w:rPr>
      </w:pPr>
      <w:r w:rsidRPr="000572AB">
        <w:rPr>
          <w:sz w:val="20"/>
          <w:szCs w:val="20"/>
        </w:rPr>
        <w:t xml:space="preserve">Директор </w:t>
      </w:r>
      <w:r w:rsidR="008320E7" w:rsidRPr="000572AB">
        <w:rPr>
          <w:sz w:val="20"/>
          <w:szCs w:val="20"/>
        </w:rPr>
        <w:t>Товариства  Ч</w:t>
      </w:r>
      <w:r w:rsidR="004C5FDB" w:rsidRPr="000572AB">
        <w:rPr>
          <w:sz w:val="20"/>
          <w:szCs w:val="20"/>
        </w:rPr>
        <w:t>еревань Владислав Станіславович</w:t>
      </w:r>
      <w:r w:rsidR="00D31FCB" w:rsidRPr="000572AB">
        <w:rPr>
          <w:sz w:val="20"/>
          <w:szCs w:val="20"/>
        </w:rPr>
        <w:t>;</w:t>
      </w:r>
    </w:p>
    <w:p w:rsidR="00D31FCB" w:rsidRPr="000572AB" w:rsidRDefault="009E3653" w:rsidP="00D542E2">
      <w:pPr>
        <w:pStyle w:val="11"/>
        <w:widowControl/>
        <w:numPr>
          <w:ilvl w:val="0"/>
          <w:numId w:val="30"/>
        </w:numPr>
        <w:shd w:val="clear" w:color="auto" w:fill="auto"/>
        <w:spacing w:before="0" w:after="0" w:line="240" w:lineRule="auto"/>
        <w:jc w:val="both"/>
        <w:rPr>
          <w:sz w:val="20"/>
          <w:szCs w:val="20"/>
        </w:rPr>
      </w:pPr>
      <w:r w:rsidRPr="000572AB">
        <w:rPr>
          <w:sz w:val="20"/>
          <w:szCs w:val="20"/>
          <w:lang w:val="ru-RU"/>
        </w:rPr>
        <w:t>Член родини Директора Товариства в особі г</w:t>
      </w:r>
      <w:r w:rsidR="002D30C3" w:rsidRPr="000572AB">
        <w:rPr>
          <w:sz w:val="20"/>
          <w:szCs w:val="20"/>
          <w:lang w:val="ru-RU"/>
        </w:rPr>
        <w:t>оловн</w:t>
      </w:r>
      <w:r w:rsidRPr="000572AB">
        <w:rPr>
          <w:sz w:val="20"/>
          <w:szCs w:val="20"/>
          <w:lang w:val="ru-RU"/>
        </w:rPr>
        <w:t xml:space="preserve">ого </w:t>
      </w:r>
      <w:r w:rsidR="002D30C3" w:rsidRPr="000572AB">
        <w:rPr>
          <w:sz w:val="20"/>
          <w:szCs w:val="20"/>
          <w:lang w:val="ru-RU"/>
        </w:rPr>
        <w:t>бухгалтер</w:t>
      </w:r>
      <w:r w:rsidRPr="000572AB">
        <w:rPr>
          <w:sz w:val="20"/>
          <w:szCs w:val="20"/>
          <w:lang w:val="ru-RU"/>
        </w:rPr>
        <w:t>а</w:t>
      </w:r>
      <w:r w:rsidR="002D30C3" w:rsidRPr="000572AB">
        <w:rPr>
          <w:sz w:val="20"/>
          <w:szCs w:val="20"/>
          <w:lang w:val="ru-RU"/>
        </w:rPr>
        <w:t xml:space="preserve"> Товариства (до 02.06.2018 року)</w:t>
      </w:r>
      <w:r w:rsidR="004C5FDB" w:rsidRPr="000572AB">
        <w:rPr>
          <w:sz w:val="20"/>
          <w:szCs w:val="20"/>
          <w:lang w:val="ru-RU"/>
        </w:rPr>
        <w:t xml:space="preserve"> </w:t>
      </w:r>
      <w:r w:rsidR="002D30C3" w:rsidRPr="000572AB">
        <w:rPr>
          <w:sz w:val="20"/>
          <w:szCs w:val="20"/>
          <w:lang w:val="ru-RU"/>
        </w:rPr>
        <w:t>- Черевань Анастасія Олександр</w:t>
      </w:r>
      <w:r w:rsidR="002D30C3" w:rsidRPr="000572AB">
        <w:rPr>
          <w:sz w:val="20"/>
          <w:szCs w:val="20"/>
        </w:rPr>
        <w:t>і</w:t>
      </w:r>
      <w:r w:rsidR="002D30C3" w:rsidRPr="000572AB">
        <w:rPr>
          <w:sz w:val="20"/>
          <w:szCs w:val="20"/>
          <w:lang w:val="ru-RU"/>
        </w:rPr>
        <w:t>вна</w:t>
      </w:r>
      <w:r w:rsidR="00D31FCB" w:rsidRPr="000572AB">
        <w:rPr>
          <w:sz w:val="20"/>
          <w:szCs w:val="20"/>
          <w:lang w:val="ru-RU"/>
        </w:rPr>
        <w:t xml:space="preserve">; </w:t>
      </w:r>
    </w:p>
    <w:p w:rsidR="002D30C3" w:rsidRPr="000572AB" w:rsidRDefault="002D30C3" w:rsidP="00D542E2">
      <w:pPr>
        <w:pStyle w:val="11"/>
        <w:widowControl/>
        <w:numPr>
          <w:ilvl w:val="0"/>
          <w:numId w:val="30"/>
        </w:numPr>
        <w:shd w:val="clear" w:color="auto" w:fill="auto"/>
        <w:spacing w:before="0" w:after="0" w:line="240" w:lineRule="auto"/>
        <w:jc w:val="both"/>
        <w:rPr>
          <w:sz w:val="20"/>
          <w:szCs w:val="20"/>
        </w:rPr>
      </w:pPr>
      <w:r w:rsidRPr="000572AB">
        <w:rPr>
          <w:sz w:val="20"/>
          <w:szCs w:val="20"/>
        </w:rPr>
        <w:t>Директор Засновника Товариства ТОВ «УПК»  Лебідь Валерій Іванович</w:t>
      </w:r>
      <w:r w:rsidR="00D31FCB" w:rsidRPr="000572AB">
        <w:rPr>
          <w:sz w:val="20"/>
          <w:szCs w:val="20"/>
        </w:rPr>
        <w:t>;</w:t>
      </w:r>
    </w:p>
    <w:p w:rsidR="004C5FDB" w:rsidRPr="000572AB" w:rsidRDefault="004C5FDB" w:rsidP="00D542E2">
      <w:pPr>
        <w:pStyle w:val="11"/>
        <w:widowControl/>
        <w:numPr>
          <w:ilvl w:val="0"/>
          <w:numId w:val="30"/>
        </w:numPr>
        <w:shd w:val="clear" w:color="auto" w:fill="auto"/>
        <w:spacing w:before="0" w:after="0" w:line="240" w:lineRule="auto"/>
        <w:jc w:val="both"/>
        <w:rPr>
          <w:sz w:val="20"/>
          <w:szCs w:val="20"/>
        </w:rPr>
      </w:pPr>
      <w:r w:rsidRPr="000572AB">
        <w:rPr>
          <w:sz w:val="20"/>
          <w:szCs w:val="20"/>
        </w:rPr>
        <w:t>Кінцевий бенефіціар Литвинюк Володимир Анатолієвич</w:t>
      </w:r>
    </w:p>
    <w:p w:rsidR="00B85F4B" w:rsidRPr="000572AB" w:rsidRDefault="00B85F4B" w:rsidP="00D542E2">
      <w:pPr>
        <w:pStyle w:val="Bodytext100"/>
        <w:shd w:val="clear" w:color="auto" w:fill="auto"/>
        <w:spacing w:before="0" w:after="0" w:line="240" w:lineRule="auto"/>
        <w:ind w:firstLine="709"/>
        <w:jc w:val="both"/>
        <w:rPr>
          <w:rFonts w:ascii="Times New Roman" w:hAnsi="Times New Roman" w:cs="Times New Roman"/>
          <w:sz w:val="20"/>
          <w:szCs w:val="20"/>
          <w:u w:val="single"/>
          <w:lang w:val="uk-UA"/>
        </w:rPr>
      </w:pPr>
    </w:p>
    <w:p w:rsidR="00A01440" w:rsidRPr="000572AB" w:rsidRDefault="00A01440" w:rsidP="00D542E2">
      <w:pPr>
        <w:pStyle w:val="Bodytext100"/>
        <w:shd w:val="clear" w:color="auto" w:fill="auto"/>
        <w:spacing w:before="0" w:after="0" w:line="240" w:lineRule="auto"/>
        <w:ind w:firstLine="709"/>
        <w:jc w:val="both"/>
        <w:rPr>
          <w:rFonts w:ascii="Times New Roman" w:hAnsi="Times New Roman" w:cs="Times New Roman"/>
          <w:sz w:val="20"/>
          <w:szCs w:val="20"/>
          <w:u w:val="single"/>
          <w:lang w:val="uk-UA"/>
        </w:rPr>
      </w:pPr>
      <w:r w:rsidRPr="000572AB">
        <w:rPr>
          <w:rFonts w:ascii="Times New Roman" w:hAnsi="Times New Roman" w:cs="Times New Roman"/>
          <w:sz w:val="20"/>
          <w:szCs w:val="20"/>
          <w:u w:val="single"/>
          <w:lang w:val="uk-UA"/>
        </w:rPr>
        <w:t>Строки та умови операцій закупівлі з пов'язаними сторонами</w:t>
      </w:r>
    </w:p>
    <w:p w:rsidR="00A01440" w:rsidRPr="000572AB" w:rsidRDefault="00A01440" w:rsidP="00D542E2">
      <w:pPr>
        <w:pStyle w:val="11"/>
        <w:shd w:val="clear" w:color="auto" w:fill="auto"/>
        <w:spacing w:before="0" w:after="0" w:line="240" w:lineRule="auto"/>
        <w:ind w:firstLine="709"/>
        <w:jc w:val="both"/>
        <w:rPr>
          <w:sz w:val="20"/>
          <w:szCs w:val="20"/>
        </w:rPr>
      </w:pPr>
      <w:r w:rsidRPr="000572AB">
        <w:rPr>
          <w:sz w:val="20"/>
          <w:szCs w:val="20"/>
        </w:rPr>
        <w:t xml:space="preserve">Розрахунки із зв’язаними особами проводяться грошовими коштами. </w:t>
      </w:r>
    </w:p>
    <w:p w:rsidR="004C5FDB" w:rsidRPr="000572AB" w:rsidRDefault="00A01440" w:rsidP="00D542E2">
      <w:pPr>
        <w:pStyle w:val="11"/>
        <w:shd w:val="clear" w:color="auto" w:fill="auto"/>
        <w:spacing w:before="0" w:after="0" w:line="240" w:lineRule="auto"/>
        <w:ind w:firstLine="709"/>
        <w:jc w:val="both"/>
        <w:rPr>
          <w:sz w:val="20"/>
          <w:szCs w:val="20"/>
        </w:rPr>
      </w:pPr>
      <w:r w:rsidRPr="000572AB">
        <w:rPr>
          <w:sz w:val="20"/>
          <w:szCs w:val="20"/>
        </w:rPr>
        <w:t xml:space="preserve">У звітному році </w:t>
      </w:r>
      <w:r w:rsidR="008320E7" w:rsidRPr="000572AB">
        <w:rPr>
          <w:sz w:val="20"/>
          <w:szCs w:val="20"/>
        </w:rPr>
        <w:t>Товариство</w:t>
      </w:r>
      <w:r w:rsidR="00E0472B" w:rsidRPr="000572AB">
        <w:rPr>
          <w:sz w:val="20"/>
          <w:szCs w:val="20"/>
          <w:lang w:val="ru-RU"/>
        </w:rPr>
        <w:t>м</w:t>
      </w:r>
      <w:r w:rsidR="009E3653" w:rsidRPr="000572AB">
        <w:rPr>
          <w:sz w:val="20"/>
          <w:szCs w:val="20"/>
        </w:rPr>
        <w:t xml:space="preserve"> </w:t>
      </w:r>
      <w:r w:rsidR="009E3653" w:rsidRPr="000572AB">
        <w:rPr>
          <w:sz w:val="20"/>
          <w:szCs w:val="20"/>
          <w:lang w:val="ru-RU"/>
        </w:rPr>
        <w:t>нараховано та сплачено</w:t>
      </w:r>
      <w:r w:rsidR="00E0472B" w:rsidRPr="000572AB">
        <w:rPr>
          <w:sz w:val="20"/>
          <w:szCs w:val="20"/>
          <w:lang w:val="ru-RU"/>
        </w:rPr>
        <w:t xml:space="preserve"> </w:t>
      </w:r>
      <w:r w:rsidR="004C5FDB" w:rsidRPr="000572AB">
        <w:rPr>
          <w:sz w:val="20"/>
          <w:szCs w:val="20"/>
        </w:rPr>
        <w:t>заробітну плату:</w:t>
      </w:r>
    </w:p>
    <w:p w:rsidR="008320E7" w:rsidRPr="000572AB" w:rsidRDefault="008320E7" w:rsidP="004C5FDB">
      <w:pPr>
        <w:pStyle w:val="11"/>
        <w:numPr>
          <w:ilvl w:val="0"/>
          <w:numId w:val="38"/>
        </w:numPr>
        <w:shd w:val="clear" w:color="auto" w:fill="auto"/>
        <w:spacing w:before="0" w:after="0" w:line="240" w:lineRule="auto"/>
        <w:jc w:val="both"/>
        <w:rPr>
          <w:sz w:val="20"/>
          <w:szCs w:val="20"/>
        </w:rPr>
      </w:pPr>
      <w:r w:rsidRPr="000572AB">
        <w:rPr>
          <w:sz w:val="20"/>
          <w:szCs w:val="20"/>
        </w:rPr>
        <w:t>ЧереваньВ.С.</w:t>
      </w:r>
      <w:r w:rsidR="004C5FDB" w:rsidRPr="000572AB">
        <w:rPr>
          <w:sz w:val="20"/>
          <w:szCs w:val="20"/>
        </w:rPr>
        <w:t xml:space="preserve"> </w:t>
      </w:r>
      <w:r w:rsidR="00A01440" w:rsidRPr="000572AB">
        <w:rPr>
          <w:sz w:val="20"/>
          <w:szCs w:val="20"/>
        </w:rPr>
        <w:t>в</w:t>
      </w:r>
      <w:r w:rsidR="004C5FDB" w:rsidRPr="000572AB">
        <w:rPr>
          <w:sz w:val="20"/>
          <w:szCs w:val="20"/>
        </w:rPr>
        <w:t xml:space="preserve"> </w:t>
      </w:r>
      <w:r w:rsidRPr="000572AB">
        <w:rPr>
          <w:sz w:val="20"/>
          <w:szCs w:val="20"/>
        </w:rPr>
        <w:t xml:space="preserve">розмірі </w:t>
      </w:r>
      <w:r w:rsidR="00362CC2" w:rsidRPr="000572AB">
        <w:rPr>
          <w:sz w:val="20"/>
          <w:szCs w:val="20"/>
        </w:rPr>
        <w:t>210</w:t>
      </w:r>
      <w:r w:rsidR="00A01440" w:rsidRPr="000572AB">
        <w:rPr>
          <w:sz w:val="20"/>
          <w:szCs w:val="20"/>
        </w:rPr>
        <w:t xml:space="preserve"> тис.</w:t>
      </w:r>
      <w:r w:rsidRPr="000572AB">
        <w:rPr>
          <w:sz w:val="20"/>
          <w:szCs w:val="20"/>
        </w:rPr>
        <w:t xml:space="preserve"> </w:t>
      </w:r>
      <w:r w:rsidR="00A01440" w:rsidRPr="000572AB">
        <w:rPr>
          <w:sz w:val="20"/>
          <w:szCs w:val="20"/>
        </w:rPr>
        <w:t>грн.</w:t>
      </w:r>
      <w:r w:rsidR="00775071" w:rsidRPr="000572AB">
        <w:rPr>
          <w:sz w:val="20"/>
          <w:szCs w:val="20"/>
        </w:rPr>
        <w:t>;</w:t>
      </w:r>
    </w:p>
    <w:p w:rsidR="00775071" w:rsidRPr="000572AB" w:rsidRDefault="004C5FDB" w:rsidP="00775071">
      <w:pPr>
        <w:pStyle w:val="11"/>
        <w:numPr>
          <w:ilvl w:val="0"/>
          <w:numId w:val="38"/>
        </w:numPr>
        <w:shd w:val="clear" w:color="auto" w:fill="auto"/>
        <w:spacing w:before="0" w:after="0" w:line="240" w:lineRule="auto"/>
        <w:jc w:val="both"/>
        <w:rPr>
          <w:sz w:val="20"/>
          <w:szCs w:val="20"/>
        </w:rPr>
      </w:pPr>
      <w:r w:rsidRPr="000572AB">
        <w:rPr>
          <w:sz w:val="20"/>
          <w:szCs w:val="20"/>
        </w:rPr>
        <w:t xml:space="preserve">Черевань А.О в розмірі </w:t>
      </w:r>
      <w:r w:rsidR="00775071" w:rsidRPr="000572AB">
        <w:rPr>
          <w:sz w:val="20"/>
          <w:szCs w:val="20"/>
        </w:rPr>
        <w:t>49 тис. грн.;</w:t>
      </w:r>
    </w:p>
    <w:p w:rsidR="00775071" w:rsidRPr="000572AB" w:rsidRDefault="004C5FDB" w:rsidP="00775071">
      <w:pPr>
        <w:pStyle w:val="11"/>
        <w:numPr>
          <w:ilvl w:val="0"/>
          <w:numId w:val="38"/>
        </w:numPr>
        <w:shd w:val="clear" w:color="auto" w:fill="auto"/>
        <w:spacing w:before="0" w:after="0" w:line="240" w:lineRule="auto"/>
        <w:jc w:val="both"/>
        <w:rPr>
          <w:sz w:val="20"/>
          <w:szCs w:val="20"/>
        </w:rPr>
      </w:pPr>
      <w:r w:rsidRPr="000572AB">
        <w:rPr>
          <w:sz w:val="20"/>
          <w:szCs w:val="20"/>
        </w:rPr>
        <w:t xml:space="preserve">Лебідь В.І в розмірі  </w:t>
      </w:r>
      <w:r w:rsidR="00775071" w:rsidRPr="000572AB">
        <w:rPr>
          <w:sz w:val="20"/>
          <w:szCs w:val="20"/>
        </w:rPr>
        <w:t>19 тис. грн..</w:t>
      </w:r>
    </w:p>
    <w:p w:rsidR="004C5FDB" w:rsidRPr="000572AB" w:rsidRDefault="004C5FDB" w:rsidP="00775071">
      <w:pPr>
        <w:pStyle w:val="11"/>
        <w:shd w:val="clear" w:color="auto" w:fill="auto"/>
        <w:spacing w:before="0" w:after="0" w:line="240" w:lineRule="auto"/>
        <w:ind w:left="1429" w:firstLine="0"/>
        <w:jc w:val="both"/>
        <w:rPr>
          <w:sz w:val="20"/>
          <w:szCs w:val="20"/>
        </w:rPr>
      </w:pPr>
    </w:p>
    <w:p w:rsidR="00A01440" w:rsidRPr="000572AB" w:rsidRDefault="00A01440" w:rsidP="00D542E2">
      <w:pPr>
        <w:pStyle w:val="11"/>
        <w:shd w:val="clear" w:color="auto" w:fill="auto"/>
        <w:spacing w:before="0" w:after="0" w:line="240" w:lineRule="auto"/>
        <w:ind w:firstLine="709"/>
        <w:jc w:val="both"/>
        <w:rPr>
          <w:sz w:val="20"/>
          <w:szCs w:val="20"/>
        </w:rPr>
      </w:pPr>
      <w:r w:rsidRPr="000572AB">
        <w:rPr>
          <w:sz w:val="20"/>
          <w:szCs w:val="20"/>
        </w:rPr>
        <w:t xml:space="preserve"> Розрахунки проводились грошовими коштами. Станом на </w:t>
      </w:r>
      <w:r w:rsidR="008320E7" w:rsidRPr="000572AB">
        <w:rPr>
          <w:sz w:val="20"/>
          <w:szCs w:val="20"/>
        </w:rPr>
        <w:t>31</w:t>
      </w:r>
      <w:r w:rsidRPr="000572AB">
        <w:rPr>
          <w:sz w:val="20"/>
          <w:szCs w:val="20"/>
        </w:rPr>
        <w:t>.12.2017  р. заборгованість з виплати заробітної плати відсутня.</w:t>
      </w:r>
    </w:p>
    <w:p w:rsidR="00A01440" w:rsidRPr="000572AB" w:rsidRDefault="00A01440" w:rsidP="00D542E2">
      <w:pPr>
        <w:pStyle w:val="11"/>
        <w:shd w:val="clear" w:color="auto" w:fill="auto"/>
        <w:spacing w:before="0" w:after="0" w:line="240" w:lineRule="auto"/>
        <w:ind w:firstLine="709"/>
        <w:jc w:val="both"/>
        <w:rPr>
          <w:sz w:val="20"/>
          <w:szCs w:val="20"/>
        </w:rPr>
      </w:pPr>
      <w:r w:rsidRPr="000572AB">
        <w:rPr>
          <w:sz w:val="20"/>
          <w:szCs w:val="20"/>
        </w:rPr>
        <w:t xml:space="preserve">Немає ні виданих, ні отриманих гарантій за дебіторською та кредиторською заборгованістю пов'язаних сторін. За рік, що закінчився 31 грудня 2017р., </w:t>
      </w:r>
      <w:r w:rsidR="00597424" w:rsidRPr="000572AB">
        <w:rPr>
          <w:sz w:val="20"/>
          <w:szCs w:val="20"/>
        </w:rPr>
        <w:t xml:space="preserve">Товариством </w:t>
      </w:r>
      <w:r w:rsidRPr="000572AB">
        <w:rPr>
          <w:sz w:val="20"/>
          <w:szCs w:val="20"/>
        </w:rPr>
        <w:t>не здійснювалось знецінення дебіторської заборгованості із пов'язаними сторонами (відсутні ознаки знецінення). Така оцінка здійснюється щорічно при визначенні фінансової позиції пов'язаних сторін, а також ринку, на якому пов'язані сторони здійснюють свою діяльність.</w:t>
      </w:r>
    </w:p>
    <w:p w:rsidR="008320E7" w:rsidRPr="000572AB" w:rsidRDefault="008320E7" w:rsidP="00D542E2">
      <w:pPr>
        <w:pStyle w:val="11"/>
        <w:shd w:val="clear" w:color="auto" w:fill="auto"/>
        <w:spacing w:before="0" w:after="0" w:line="240" w:lineRule="auto"/>
        <w:ind w:firstLine="709"/>
        <w:jc w:val="both"/>
        <w:rPr>
          <w:sz w:val="20"/>
          <w:szCs w:val="20"/>
        </w:rPr>
      </w:pPr>
    </w:p>
    <w:p w:rsidR="00541C7D" w:rsidRPr="000572AB" w:rsidRDefault="00541C7D" w:rsidP="00D542E2">
      <w:pPr>
        <w:pStyle w:val="a"/>
        <w:rPr>
          <w:sz w:val="20"/>
          <w:szCs w:val="20"/>
        </w:rPr>
      </w:pPr>
      <w:r w:rsidRPr="000572AB">
        <w:rPr>
          <w:sz w:val="20"/>
          <w:szCs w:val="20"/>
        </w:rPr>
        <w:t xml:space="preserve"> Сегменти</w:t>
      </w:r>
    </w:p>
    <w:p w:rsidR="00541C7D" w:rsidRPr="000572AB" w:rsidRDefault="00541C7D" w:rsidP="00D542E2">
      <w:pPr>
        <w:pStyle w:val="11"/>
        <w:shd w:val="clear" w:color="auto" w:fill="auto"/>
        <w:tabs>
          <w:tab w:val="left" w:pos="0"/>
        </w:tabs>
        <w:spacing w:before="0" w:after="0" w:line="240" w:lineRule="auto"/>
        <w:ind w:firstLine="709"/>
        <w:jc w:val="both"/>
        <w:rPr>
          <w:sz w:val="20"/>
          <w:szCs w:val="20"/>
        </w:rPr>
      </w:pPr>
      <w:r w:rsidRPr="000572AB">
        <w:rPr>
          <w:sz w:val="20"/>
          <w:szCs w:val="20"/>
        </w:rPr>
        <w:t xml:space="preserve">В силу технологічних особливостей </w:t>
      </w:r>
      <w:r w:rsidR="00291398" w:rsidRPr="000572AB">
        <w:rPr>
          <w:sz w:val="20"/>
          <w:szCs w:val="20"/>
        </w:rPr>
        <w:t>Т</w:t>
      </w:r>
      <w:r w:rsidRPr="000572AB">
        <w:rPr>
          <w:sz w:val="20"/>
          <w:szCs w:val="20"/>
        </w:rPr>
        <w:t>овариства і сформованою практикою організації виробництва господарсько-галузеві сегменти не виділені.</w:t>
      </w:r>
    </w:p>
    <w:p w:rsidR="009C6E75" w:rsidRPr="000572AB" w:rsidRDefault="009C6E75" w:rsidP="00D542E2">
      <w:pPr>
        <w:pStyle w:val="11"/>
        <w:shd w:val="clear" w:color="auto" w:fill="auto"/>
        <w:tabs>
          <w:tab w:val="left" w:pos="0"/>
        </w:tabs>
        <w:spacing w:before="0" w:after="0" w:line="240" w:lineRule="auto"/>
        <w:ind w:firstLine="709"/>
        <w:jc w:val="both"/>
        <w:rPr>
          <w:sz w:val="20"/>
          <w:szCs w:val="20"/>
        </w:rPr>
      </w:pPr>
    </w:p>
    <w:p w:rsidR="00DA0901" w:rsidRPr="000572AB" w:rsidRDefault="00DA0901" w:rsidP="00D542E2">
      <w:pPr>
        <w:pStyle w:val="a"/>
        <w:rPr>
          <w:sz w:val="20"/>
          <w:szCs w:val="20"/>
        </w:rPr>
      </w:pPr>
      <w:r w:rsidRPr="000572AB">
        <w:rPr>
          <w:sz w:val="20"/>
          <w:szCs w:val="20"/>
        </w:rPr>
        <w:lastRenderedPageBreak/>
        <w:t>Управління ризиками</w:t>
      </w:r>
    </w:p>
    <w:p w:rsidR="00DA0901" w:rsidRPr="000572AB" w:rsidRDefault="00DA0901" w:rsidP="00D542E2">
      <w:pPr>
        <w:pStyle w:val="a7"/>
        <w:spacing w:before="0" w:beforeAutospacing="0" w:after="0" w:afterAutospacing="0"/>
        <w:ind w:firstLine="709"/>
        <w:jc w:val="both"/>
        <w:rPr>
          <w:color w:val="000000"/>
          <w:sz w:val="20"/>
          <w:szCs w:val="20"/>
        </w:rPr>
      </w:pPr>
      <w:r w:rsidRPr="000572AB">
        <w:rPr>
          <w:color w:val="000000"/>
          <w:sz w:val="20"/>
          <w:szCs w:val="20"/>
        </w:rPr>
        <w:t>Операційний ризик контролюється через вдосконалення процедур стягнення дебіторської заборгованості.</w:t>
      </w:r>
    </w:p>
    <w:p w:rsidR="00DA0901" w:rsidRPr="000572AB" w:rsidRDefault="00DA0901" w:rsidP="00D542E2">
      <w:pPr>
        <w:pStyle w:val="a7"/>
        <w:spacing w:before="0" w:beforeAutospacing="0" w:after="0" w:afterAutospacing="0"/>
        <w:ind w:firstLine="709"/>
        <w:jc w:val="both"/>
        <w:rPr>
          <w:color w:val="000000"/>
          <w:sz w:val="20"/>
          <w:szCs w:val="20"/>
        </w:rPr>
      </w:pPr>
      <w:r w:rsidRPr="000572AB">
        <w:rPr>
          <w:color w:val="000000"/>
          <w:sz w:val="20"/>
          <w:szCs w:val="20"/>
        </w:rPr>
        <w:t>Юридичний ризик контролюється шляхом застосування типових форм угод з клієнтами Товариства з метою формалізації та уникнення ситуацій, які можуть погіршити позицію Товариства у відносинах з клієнтами.</w:t>
      </w:r>
    </w:p>
    <w:p w:rsidR="00DA0901" w:rsidRPr="000572AB" w:rsidRDefault="00DA0901" w:rsidP="00D542E2">
      <w:pPr>
        <w:pStyle w:val="a7"/>
        <w:spacing w:before="0" w:beforeAutospacing="0" w:after="0" w:afterAutospacing="0"/>
        <w:ind w:firstLine="709"/>
        <w:jc w:val="both"/>
        <w:rPr>
          <w:color w:val="000000"/>
          <w:sz w:val="20"/>
          <w:szCs w:val="20"/>
        </w:rPr>
      </w:pPr>
      <w:r w:rsidRPr="000572AB">
        <w:rPr>
          <w:color w:val="000000"/>
          <w:sz w:val="20"/>
          <w:szCs w:val="20"/>
        </w:rPr>
        <w:t>Стратегічний ризик мінімізується шляхом щорічного перегляду та коригування стратегічного плану Товариства з урахуванням макроекономічної ситуації в країні.</w:t>
      </w:r>
    </w:p>
    <w:p w:rsidR="00DA0901" w:rsidRPr="000572AB" w:rsidRDefault="00DA0901" w:rsidP="00D542E2">
      <w:pPr>
        <w:pStyle w:val="a7"/>
        <w:spacing w:before="0" w:beforeAutospacing="0" w:after="0" w:afterAutospacing="0"/>
        <w:ind w:firstLine="709"/>
        <w:jc w:val="both"/>
        <w:rPr>
          <w:color w:val="000000"/>
          <w:sz w:val="20"/>
          <w:szCs w:val="20"/>
        </w:rPr>
      </w:pPr>
      <w:r w:rsidRPr="000572AB">
        <w:rPr>
          <w:color w:val="000000"/>
          <w:sz w:val="20"/>
          <w:szCs w:val="20"/>
        </w:rPr>
        <w:t>Ризик репутації контролюється в процесі постійного моніторингу ЗМІ, оцінки їх впливу на поведінку клієнтів Товариства та своєчасних повідомлень позиції Товариства до клієнтів. Крім того, проводиться моніторинг ринкової позиції Товариства щодо портфелів заборгованості фізичних та юридичних осіб, рейтингу за простроченої заборгованості.</w:t>
      </w:r>
    </w:p>
    <w:p w:rsidR="00DA0901" w:rsidRPr="000572AB" w:rsidRDefault="00DA0901" w:rsidP="00D542E2">
      <w:pPr>
        <w:pStyle w:val="a7"/>
        <w:spacing w:before="0" w:beforeAutospacing="0" w:after="0" w:afterAutospacing="0"/>
        <w:ind w:firstLine="709"/>
        <w:jc w:val="both"/>
        <w:rPr>
          <w:color w:val="000000"/>
          <w:sz w:val="20"/>
          <w:szCs w:val="20"/>
        </w:rPr>
      </w:pPr>
      <w:r w:rsidRPr="000572AB">
        <w:rPr>
          <w:color w:val="000000"/>
          <w:sz w:val="20"/>
          <w:szCs w:val="20"/>
        </w:rPr>
        <w:t>Ризик ліквідності виникає при неузгодженості термінів повернення розміщених ресурсів та виконання зобов'язань Товариства перед кредиторами. Ринок ліквідності контролюється шляхом укладення довгострокових угод для залучення коштів і збільшення строків повернення позикового капіталу.</w:t>
      </w:r>
    </w:p>
    <w:p w:rsidR="009C6E75" w:rsidRPr="000572AB" w:rsidRDefault="009C6E75" w:rsidP="00D542E2">
      <w:pPr>
        <w:pStyle w:val="Heading120"/>
        <w:shd w:val="clear" w:color="auto" w:fill="auto"/>
        <w:spacing w:before="0" w:after="0" w:line="240" w:lineRule="auto"/>
        <w:ind w:firstLine="709"/>
        <w:jc w:val="both"/>
        <w:rPr>
          <w:rFonts w:ascii="Times New Roman" w:hAnsi="Times New Roman" w:cs="Times New Roman"/>
          <w:b/>
          <w:sz w:val="20"/>
          <w:szCs w:val="20"/>
          <w:lang w:val="uk-UA"/>
        </w:rPr>
      </w:pPr>
    </w:p>
    <w:p w:rsidR="009C6E75" w:rsidRPr="000572AB" w:rsidRDefault="009C6E75" w:rsidP="00D542E2">
      <w:pPr>
        <w:pStyle w:val="Heading120"/>
        <w:shd w:val="clear" w:color="auto" w:fill="auto"/>
        <w:spacing w:before="0" w:after="0" w:line="240" w:lineRule="auto"/>
        <w:ind w:firstLine="709"/>
        <w:jc w:val="both"/>
        <w:rPr>
          <w:rFonts w:ascii="Times New Roman" w:hAnsi="Times New Roman" w:cs="Times New Roman"/>
          <w:b/>
          <w:sz w:val="20"/>
          <w:szCs w:val="20"/>
          <w:lang w:val="uk-UA"/>
        </w:rPr>
      </w:pPr>
      <w:r w:rsidRPr="000572AB">
        <w:rPr>
          <w:rFonts w:ascii="Times New Roman" w:hAnsi="Times New Roman" w:cs="Times New Roman"/>
          <w:b/>
          <w:sz w:val="20"/>
          <w:szCs w:val="20"/>
          <w:lang w:val="uk-UA"/>
        </w:rPr>
        <w:t>Умовні та договірні зобов'язання, операційні ризики</w:t>
      </w:r>
    </w:p>
    <w:p w:rsidR="009C6E75" w:rsidRPr="000572AB" w:rsidRDefault="009C6E75" w:rsidP="00D542E2">
      <w:pPr>
        <w:pStyle w:val="Bodytext100"/>
        <w:shd w:val="clear" w:color="auto" w:fill="auto"/>
        <w:spacing w:before="0" w:after="0" w:line="240" w:lineRule="auto"/>
        <w:ind w:firstLine="709"/>
        <w:jc w:val="both"/>
        <w:rPr>
          <w:rFonts w:ascii="Times New Roman" w:hAnsi="Times New Roman" w:cs="Times New Roman"/>
          <w:sz w:val="20"/>
          <w:szCs w:val="20"/>
          <w:u w:val="single"/>
          <w:lang w:val="uk-UA"/>
        </w:rPr>
      </w:pPr>
      <w:r w:rsidRPr="000572AB">
        <w:rPr>
          <w:rFonts w:ascii="Times New Roman" w:hAnsi="Times New Roman" w:cs="Times New Roman"/>
          <w:sz w:val="20"/>
          <w:szCs w:val="20"/>
          <w:u w:val="single"/>
          <w:lang w:val="uk-UA"/>
        </w:rPr>
        <w:t>Дотримання податкового законодавства України</w:t>
      </w:r>
    </w:p>
    <w:p w:rsidR="009C6E75" w:rsidRPr="000572AB" w:rsidRDefault="009C6E75" w:rsidP="00D542E2">
      <w:pPr>
        <w:pStyle w:val="11"/>
        <w:shd w:val="clear" w:color="auto" w:fill="auto"/>
        <w:spacing w:before="0" w:after="0" w:line="240" w:lineRule="auto"/>
        <w:ind w:firstLine="709"/>
        <w:jc w:val="both"/>
        <w:rPr>
          <w:sz w:val="20"/>
          <w:szCs w:val="20"/>
        </w:rPr>
      </w:pPr>
      <w:r w:rsidRPr="000572AB">
        <w:rPr>
          <w:sz w:val="20"/>
          <w:szCs w:val="20"/>
        </w:rPr>
        <w:t xml:space="preserve">Українське законодавство та нормативні акти, що регулюють сферу оподаткування та інші аспекти діяльності підприємств, у тому числі валютний контроль, митні вимоги та трансфертне ціноутворення, продовжують змінюватися. Положення законів і нормативних документів найчастіше є нечіткими, й їхнє тлумачення залежить від позиції місцевих, регіональних і державних органів та інших урядових інститутів. Випадки різних тлумачень законодавства не є поодинокими. </w:t>
      </w:r>
      <w:r w:rsidR="002E184F" w:rsidRPr="000572AB">
        <w:rPr>
          <w:sz w:val="20"/>
          <w:szCs w:val="20"/>
        </w:rPr>
        <w:t>Керівництв</w:t>
      </w:r>
      <w:r w:rsidRPr="000572AB">
        <w:rPr>
          <w:sz w:val="20"/>
          <w:szCs w:val="20"/>
        </w:rPr>
        <w:t xml:space="preserve">о вважає, що його тлумачення відповідного законодавства є правильним, і що діяльність </w:t>
      </w:r>
      <w:r w:rsidR="00597424" w:rsidRPr="000572AB">
        <w:rPr>
          <w:sz w:val="20"/>
          <w:szCs w:val="20"/>
        </w:rPr>
        <w:t>Товриства</w:t>
      </w:r>
      <w:r w:rsidRPr="000572AB">
        <w:rPr>
          <w:sz w:val="20"/>
          <w:szCs w:val="20"/>
        </w:rPr>
        <w:t xml:space="preserve"> здійснюється в повній відповідності до законодавства, а також що </w:t>
      </w:r>
      <w:r w:rsidR="00597424" w:rsidRPr="000572AB">
        <w:rPr>
          <w:sz w:val="20"/>
          <w:szCs w:val="20"/>
        </w:rPr>
        <w:t xml:space="preserve">Товариство </w:t>
      </w:r>
      <w:r w:rsidRPr="000572AB">
        <w:rPr>
          <w:sz w:val="20"/>
          <w:szCs w:val="20"/>
        </w:rPr>
        <w:t>нарахувало та сплатило всі необхідні податки.</w:t>
      </w:r>
    </w:p>
    <w:p w:rsidR="009C6E75" w:rsidRPr="000572AB" w:rsidRDefault="009C6E75" w:rsidP="00D542E2">
      <w:pPr>
        <w:pStyle w:val="11"/>
        <w:shd w:val="clear" w:color="auto" w:fill="auto"/>
        <w:spacing w:before="0" w:after="0" w:line="240" w:lineRule="auto"/>
        <w:ind w:firstLine="709"/>
        <w:jc w:val="both"/>
        <w:rPr>
          <w:sz w:val="20"/>
          <w:szCs w:val="20"/>
        </w:rPr>
      </w:pPr>
      <w:r w:rsidRPr="000572AB">
        <w:rPr>
          <w:sz w:val="20"/>
          <w:szCs w:val="20"/>
        </w:rPr>
        <w:t xml:space="preserve">Загалом, існує ризик того, що операції та коректність тлумачень, які не були оскаржені регулюючими органами у минулому, будуть поставлені під сумнів у майбутньому. Однак цей ризик суттєво зменшується з часом. </w:t>
      </w:r>
      <w:r w:rsidR="00597424" w:rsidRPr="000572AB">
        <w:rPr>
          <w:sz w:val="20"/>
          <w:szCs w:val="20"/>
        </w:rPr>
        <w:t xml:space="preserve">Товариство </w:t>
      </w:r>
      <w:r w:rsidRPr="000572AB">
        <w:rPr>
          <w:sz w:val="20"/>
          <w:szCs w:val="20"/>
        </w:rPr>
        <w:t xml:space="preserve">визначає окремі потенційні зобов'язання, пов'язані з оподаткуванням, нарахування яких у окремій фінансовій звітності не вимагається. Такі потенційні податкові зобов'язання можуть виникнути, і </w:t>
      </w:r>
      <w:r w:rsidR="00597424" w:rsidRPr="000572AB">
        <w:rPr>
          <w:sz w:val="20"/>
          <w:szCs w:val="20"/>
        </w:rPr>
        <w:t xml:space="preserve">Товариство </w:t>
      </w:r>
      <w:r w:rsidRPr="000572AB">
        <w:rPr>
          <w:sz w:val="20"/>
          <w:szCs w:val="20"/>
        </w:rPr>
        <w:t xml:space="preserve">повинне буде сплатити додаткові суми податків. </w:t>
      </w:r>
    </w:p>
    <w:p w:rsidR="009C6E75" w:rsidRPr="000572AB" w:rsidRDefault="009C6E75" w:rsidP="00D542E2">
      <w:pPr>
        <w:pStyle w:val="Bodytext100"/>
        <w:shd w:val="clear" w:color="auto" w:fill="auto"/>
        <w:spacing w:before="0" w:after="0" w:line="240" w:lineRule="auto"/>
        <w:ind w:firstLine="709"/>
        <w:jc w:val="both"/>
        <w:rPr>
          <w:rFonts w:ascii="Times New Roman" w:hAnsi="Times New Roman" w:cs="Times New Roman"/>
          <w:sz w:val="20"/>
          <w:szCs w:val="20"/>
          <w:u w:val="single"/>
          <w:lang w:val="uk-UA"/>
        </w:rPr>
      </w:pPr>
      <w:r w:rsidRPr="000572AB">
        <w:rPr>
          <w:rFonts w:ascii="Times New Roman" w:hAnsi="Times New Roman" w:cs="Times New Roman"/>
          <w:sz w:val="20"/>
          <w:szCs w:val="20"/>
          <w:u w:val="single"/>
          <w:lang w:val="uk-UA"/>
        </w:rPr>
        <w:t>Судові спори</w:t>
      </w:r>
    </w:p>
    <w:p w:rsidR="009C6E75" w:rsidRPr="000572AB" w:rsidRDefault="009C6E75" w:rsidP="00D542E2">
      <w:pPr>
        <w:pStyle w:val="11"/>
        <w:shd w:val="clear" w:color="auto" w:fill="auto"/>
        <w:spacing w:before="0" w:after="0" w:line="240" w:lineRule="auto"/>
        <w:ind w:firstLine="709"/>
        <w:jc w:val="both"/>
        <w:rPr>
          <w:sz w:val="20"/>
          <w:szCs w:val="20"/>
        </w:rPr>
      </w:pPr>
      <w:r w:rsidRPr="000572AB">
        <w:rPr>
          <w:sz w:val="20"/>
          <w:szCs w:val="20"/>
        </w:rPr>
        <w:t xml:space="preserve">У ході звичайного ведення господарської діяльності </w:t>
      </w:r>
      <w:r w:rsidR="00597424" w:rsidRPr="000572AB">
        <w:rPr>
          <w:sz w:val="20"/>
          <w:szCs w:val="20"/>
        </w:rPr>
        <w:t>Товоарист</w:t>
      </w:r>
      <w:r w:rsidRPr="000572AB">
        <w:rPr>
          <w:sz w:val="20"/>
          <w:szCs w:val="20"/>
        </w:rPr>
        <w:t xml:space="preserve">ва час від часу може виступати стороною судових процесів та позовів. </w:t>
      </w:r>
      <w:r w:rsidR="002E184F" w:rsidRPr="000572AB">
        <w:rPr>
          <w:sz w:val="20"/>
          <w:szCs w:val="20"/>
        </w:rPr>
        <w:t>Керівництв</w:t>
      </w:r>
      <w:r w:rsidRPr="000572AB">
        <w:rPr>
          <w:sz w:val="20"/>
          <w:szCs w:val="20"/>
        </w:rPr>
        <w:t xml:space="preserve">о вважає, що загальна сума зобов'язань, які можуть виникнути в результаті таких процесів та позовів, не матиме суттєвого впливу на фінансовий стан або результати майбутніх операцій </w:t>
      </w:r>
      <w:r w:rsidR="00597424" w:rsidRPr="000572AB">
        <w:rPr>
          <w:sz w:val="20"/>
          <w:szCs w:val="20"/>
        </w:rPr>
        <w:t>Товариства</w:t>
      </w:r>
      <w:r w:rsidRPr="000572AB">
        <w:rPr>
          <w:sz w:val="20"/>
          <w:szCs w:val="20"/>
        </w:rPr>
        <w:t xml:space="preserve">. Протягом року та станом на 31 грудня 2017р. </w:t>
      </w:r>
      <w:r w:rsidR="00597424" w:rsidRPr="000572AB">
        <w:rPr>
          <w:sz w:val="20"/>
          <w:szCs w:val="20"/>
        </w:rPr>
        <w:t xml:space="preserve">Товариство </w:t>
      </w:r>
      <w:r w:rsidRPr="000572AB">
        <w:rPr>
          <w:sz w:val="20"/>
          <w:szCs w:val="20"/>
        </w:rPr>
        <w:t xml:space="preserve"> не виступало стороною судових процесів та позовів.</w:t>
      </w:r>
    </w:p>
    <w:p w:rsidR="00876C81" w:rsidRPr="000572AB" w:rsidRDefault="00876C81" w:rsidP="00D542E2">
      <w:pPr>
        <w:pStyle w:val="a2"/>
        <w:spacing w:after="0" w:line="240" w:lineRule="auto"/>
        <w:ind w:firstLine="709"/>
        <w:jc w:val="both"/>
        <w:rPr>
          <w:rFonts w:ascii="Times New Roman" w:hAnsi="Times New Roman"/>
          <w:sz w:val="20"/>
          <w:szCs w:val="20"/>
        </w:rPr>
      </w:pPr>
    </w:p>
    <w:p w:rsidR="006419B3" w:rsidRPr="000572AB" w:rsidRDefault="006419B3" w:rsidP="00D542E2">
      <w:pPr>
        <w:pStyle w:val="a"/>
        <w:rPr>
          <w:sz w:val="20"/>
          <w:szCs w:val="20"/>
        </w:rPr>
      </w:pPr>
      <w:r w:rsidRPr="000572AB">
        <w:rPr>
          <w:sz w:val="20"/>
          <w:szCs w:val="20"/>
        </w:rPr>
        <w:t>Події після дати балансу</w:t>
      </w:r>
    </w:p>
    <w:p w:rsidR="006419B3" w:rsidRPr="000572AB" w:rsidRDefault="006419B3" w:rsidP="00D542E2">
      <w:pPr>
        <w:pStyle w:val="a2"/>
        <w:spacing w:after="0" w:line="240" w:lineRule="auto"/>
        <w:ind w:firstLine="709"/>
        <w:jc w:val="both"/>
        <w:rPr>
          <w:rFonts w:ascii="Times New Roman" w:hAnsi="Times New Roman"/>
          <w:sz w:val="20"/>
          <w:szCs w:val="20"/>
          <w:lang w:val="ru-RU"/>
        </w:rPr>
      </w:pPr>
      <w:r w:rsidRPr="000572AB">
        <w:rPr>
          <w:rFonts w:ascii="Times New Roman" w:hAnsi="Times New Roman"/>
          <w:sz w:val="20"/>
          <w:szCs w:val="20"/>
        </w:rPr>
        <w:t xml:space="preserve">Відповідно до засад, визначених МСБО 10 щодо подій після дати балансу, події що потребують коригування активів та зобов'язань Товариства </w:t>
      </w:r>
      <w:r w:rsidR="00673C5C" w:rsidRPr="000572AB">
        <w:rPr>
          <w:rFonts w:ascii="Times New Roman" w:hAnsi="Times New Roman"/>
          <w:sz w:val="20"/>
          <w:szCs w:val="20"/>
        </w:rPr>
        <w:t>–</w:t>
      </w:r>
      <w:r w:rsidRPr="000572AB">
        <w:rPr>
          <w:rFonts w:ascii="Times New Roman" w:hAnsi="Times New Roman"/>
          <w:sz w:val="20"/>
          <w:szCs w:val="20"/>
        </w:rPr>
        <w:t xml:space="preserve"> відсутні</w:t>
      </w:r>
      <w:r w:rsidR="00673C5C" w:rsidRPr="000572AB">
        <w:rPr>
          <w:rFonts w:ascii="Times New Roman" w:hAnsi="Times New Roman"/>
          <w:sz w:val="20"/>
          <w:szCs w:val="20"/>
          <w:lang w:val="ru-RU"/>
        </w:rPr>
        <w:t>.</w:t>
      </w:r>
    </w:p>
    <w:p w:rsidR="00151F39" w:rsidRPr="000572AB" w:rsidRDefault="00151F39" w:rsidP="00D542E2">
      <w:pPr>
        <w:pStyle w:val="a2"/>
        <w:spacing w:after="0" w:line="240" w:lineRule="auto"/>
        <w:ind w:firstLine="567"/>
        <w:jc w:val="both"/>
        <w:rPr>
          <w:rFonts w:ascii="Times New Roman" w:hAnsi="Times New Roman"/>
          <w:sz w:val="20"/>
          <w:szCs w:val="20"/>
        </w:rPr>
      </w:pPr>
    </w:p>
    <w:p w:rsidR="00814D2B" w:rsidRPr="000572AB" w:rsidRDefault="00814D2B" w:rsidP="00D542E2">
      <w:pPr>
        <w:pStyle w:val="a2"/>
        <w:spacing w:after="0" w:line="240" w:lineRule="auto"/>
        <w:ind w:firstLine="567"/>
        <w:jc w:val="both"/>
        <w:rPr>
          <w:rFonts w:ascii="Times New Roman" w:hAnsi="Times New Roman"/>
          <w:sz w:val="20"/>
          <w:szCs w:val="20"/>
        </w:rPr>
      </w:pPr>
    </w:p>
    <w:p w:rsidR="00814D2B" w:rsidRPr="000572AB" w:rsidRDefault="00814D2B" w:rsidP="00D542E2">
      <w:pPr>
        <w:pStyle w:val="a2"/>
        <w:spacing w:after="0" w:line="240" w:lineRule="auto"/>
        <w:ind w:firstLine="567"/>
        <w:jc w:val="both"/>
        <w:rPr>
          <w:rFonts w:ascii="Times New Roman" w:hAnsi="Times New Roman"/>
          <w:sz w:val="20"/>
          <w:szCs w:val="20"/>
        </w:rPr>
      </w:pPr>
    </w:p>
    <w:p w:rsidR="004E2052" w:rsidRPr="000572AB" w:rsidRDefault="004E2052" w:rsidP="00D542E2">
      <w:pPr>
        <w:pStyle w:val="a2"/>
        <w:spacing w:after="0" w:line="240" w:lineRule="auto"/>
        <w:jc w:val="both"/>
        <w:rPr>
          <w:rFonts w:ascii="Times New Roman" w:hAnsi="Times New Roman"/>
          <w:sz w:val="20"/>
          <w:szCs w:val="20"/>
        </w:rPr>
      </w:pPr>
    </w:p>
    <w:p w:rsidR="00151F39" w:rsidRPr="000572AB" w:rsidRDefault="00151F39" w:rsidP="00D542E2">
      <w:pPr>
        <w:pStyle w:val="a2"/>
        <w:spacing w:after="0" w:line="240" w:lineRule="auto"/>
        <w:jc w:val="both"/>
        <w:rPr>
          <w:rFonts w:ascii="Times New Roman" w:hAnsi="Times New Roman"/>
          <w:sz w:val="20"/>
          <w:szCs w:val="20"/>
        </w:rPr>
      </w:pPr>
      <w:r w:rsidRPr="000572AB">
        <w:rPr>
          <w:rFonts w:ascii="Times New Roman" w:hAnsi="Times New Roman"/>
          <w:sz w:val="20"/>
          <w:szCs w:val="20"/>
        </w:rPr>
        <w:t>Директор</w:t>
      </w:r>
      <w:r w:rsidR="00814D2B" w:rsidRPr="000572AB">
        <w:rPr>
          <w:rFonts w:ascii="Times New Roman" w:hAnsi="Times New Roman"/>
          <w:sz w:val="20"/>
          <w:szCs w:val="20"/>
        </w:rPr>
        <w:tab/>
      </w:r>
      <w:r w:rsidR="00814D2B" w:rsidRPr="000572AB">
        <w:rPr>
          <w:rFonts w:ascii="Times New Roman" w:hAnsi="Times New Roman"/>
          <w:sz w:val="20"/>
          <w:szCs w:val="20"/>
        </w:rPr>
        <w:tab/>
      </w:r>
      <w:r w:rsidR="00FF6C97" w:rsidRPr="000572AB">
        <w:rPr>
          <w:rFonts w:ascii="Times New Roman" w:hAnsi="Times New Roman"/>
          <w:sz w:val="20"/>
          <w:szCs w:val="20"/>
        </w:rPr>
        <w:t>______________</w:t>
      </w:r>
      <w:r w:rsidR="00FF6C97" w:rsidRPr="000572AB">
        <w:rPr>
          <w:rFonts w:ascii="Times New Roman" w:hAnsi="Times New Roman"/>
          <w:sz w:val="20"/>
          <w:szCs w:val="20"/>
        </w:rPr>
        <w:tab/>
      </w:r>
      <w:r w:rsidR="004E2052" w:rsidRPr="000572AB">
        <w:rPr>
          <w:rFonts w:ascii="Times New Roman" w:hAnsi="Times New Roman"/>
          <w:sz w:val="20"/>
          <w:szCs w:val="20"/>
        </w:rPr>
        <w:t xml:space="preserve">      </w:t>
      </w:r>
      <w:r w:rsidR="00E2091F" w:rsidRPr="000572AB">
        <w:rPr>
          <w:rFonts w:ascii="Times New Roman" w:hAnsi="Times New Roman"/>
          <w:sz w:val="20"/>
          <w:szCs w:val="20"/>
        </w:rPr>
        <w:t>Черевань В.С.</w:t>
      </w:r>
    </w:p>
    <w:p w:rsidR="00415EF1" w:rsidRPr="000572AB" w:rsidRDefault="00415EF1" w:rsidP="00D542E2">
      <w:pPr>
        <w:pStyle w:val="a2"/>
        <w:spacing w:after="0" w:line="240" w:lineRule="auto"/>
        <w:jc w:val="both"/>
        <w:rPr>
          <w:rFonts w:ascii="Times New Roman" w:hAnsi="Times New Roman"/>
          <w:sz w:val="20"/>
          <w:szCs w:val="20"/>
        </w:rPr>
      </w:pPr>
    </w:p>
    <w:p w:rsidR="00814D2B" w:rsidRPr="000572AB" w:rsidRDefault="00814D2B" w:rsidP="00D542E2">
      <w:pPr>
        <w:pStyle w:val="a2"/>
        <w:spacing w:after="0" w:line="240" w:lineRule="auto"/>
        <w:jc w:val="both"/>
        <w:rPr>
          <w:rFonts w:ascii="Times New Roman" w:hAnsi="Times New Roman"/>
          <w:sz w:val="20"/>
          <w:szCs w:val="20"/>
        </w:rPr>
      </w:pPr>
    </w:p>
    <w:p w:rsidR="004E2052" w:rsidRPr="000572AB" w:rsidRDefault="004E2052" w:rsidP="00D542E2">
      <w:pPr>
        <w:pStyle w:val="a2"/>
        <w:spacing w:after="0" w:line="240" w:lineRule="auto"/>
        <w:jc w:val="both"/>
        <w:rPr>
          <w:rFonts w:ascii="Times New Roman" w:hAnsi="Times New Roman"/>
          <w:sz w:val="20"/>
          <w:szCs w:val="20"/>
        </w:rPr>
      </w:pPr>
    </w:p>
    <w:p w:rsidR="00A42D03" w:rsidRPr="007E1EB9" w:rsidRDefault="007C35E7" w:rsidP="00D542E2">
      <w:pPr>
        <w:pStyle w:val="a2"/>
        <w:spacing w:after="0" w:line="240" w:lineRule="auto"/>
        <w:jc w:val="both"/>
        <w:rPr>
          <w:rFonts w:ascii="Times New Roman" w:hAnsi="Times New Roman"/>
          <w:sz w:val="20"/>
          <w:szCs w:val="20"/>
          <w:lang w:val="ru-RU"/>
        </w:rPr>
      </w:pPr>
      <w:r w:rsidRPr="000572AB">
        <w:rPr>
          <w:rFonts w:ascii="Times New Roman" w:hAnsi="Times New Roman"/>
          <w:sz w:val="20"/>
          <w:szCs w:val="20"/>
        </w:rPr>
        <w:t>Головний бухгалтер</w:t>
      </w:r>
      <w:r w:rsidR="004E2052" w:rsidRPr="000572AB">
        <w:rPr>
          <w:rFonts w:ascii="Times New Roman" w:hAnsi="Times New Roman"/>
          <w:sz w:val="20"/>
          <w:szCs w:val="20"/>
        </w:rPr>
        <w:t xml:space="preserve">      </w:t>
      </w:r>
      <w:r w:rsidR="00DE0D7F" w:rsidRPr="000572AB">
        <w:rPr>
          <w:rFonts w:ascii="Times New Roman" w:hAnsi="Times New Roman"/>
          <w:sz w:val="20"/>
          <w:szCs w:val="20"/>
        </w:rPr>
        <w:t xml:space="preserve"> ______________</w:t>
      </w:r>
      <w:r w:rsidR="00473387" w:rsidRPr="000572AB">
        <w:rPr>
          <w:rFonts w:ascii="Times New Roman" w:hAnsi="Times New Roman"/>
          <w:sz w:val="20"/>
          <w:szCs w:val="20"/>
        </w:rPr>
        <w:t xml:space="preserve">       </w:t>
      </w:r>
      <w:r w:rsidR="00E2091F" w:rsidRPr="000572AB">
        <w:rPr>
          <w:rFonts w:ascii="Times New Roman" w:hAnsi="Times New Roman"/>
          <w:sz w:val="20"/>
          <w:szCs w:val="20"/>
        </w:rPr>
        <w:t>Гончарова Ю.А.</w:t>
      </w:r>
    </w:p>
    <w:p w:rsidR="00D542E2" w:rsidRPr="007E1EB9" w:rsidRDefault="00D542E2">
      <w:pPr>
        <w:pStyle w:val="a2"/>
        <w:spacing w:after="0" w:line="240" w:lineRule="auto"/>
        <w:jc w:val="both"/>
        <w:rPr>
          <w:rFonts w:ascii="Times New Roman" w:hAnsi="Times New Roman"/>
          <w:sz w:val="20"/>
          <w:szCs w:val="20"/>
          <w:lang w:val="ru-RU"/>
        </w:rPr>
      </w:pPr>
    </w:p>
    <w:sectPr w:rsidR="00D542E2" w:rsidRPr="007E1EB9" w:rsidSect="00D542E2">
      <w:headerReference w:type="even" r:id="rId8"/>
      <w:headerReference w:type="default" r:id="rId9"/>
      <w:footerReference w:type="even" r:id="rId10"/>
      <w:footerReference w:type="default" r:id="rId11"/>
      <w:headerReference w:type="first" r:id="rId12"/>
      <w:footerReference w:type="first" r:id="rId13"/>
      <w:pgSz w:w="11906" w:h="16838"/>
      <w:pgMar w:top="851"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A64" w:rsidRDefault="008B1A64">
      <w:r>
        <w:separator/>
      </w:r>
    </w:p>
  </w:endnote>
  <w:endnote w:type="continuationSeparator" w:id="1">
    <w:p w:rsidR="008B1A64" w:rsidRDefault="008B1A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28" w:rsidRDefault="00597195" w:rsidP="0071581C">
    <w:pPr>
      <w:pStyle w:val="af3"/>
      <w:framePr w:wrap="around" w:vAnchor="text" w:hAnchor="margin" w:xAlign="right" w:y="1"/>
      <w:rPr>
        <w:rStyle w:val="af4"/>
      </w:rPr>
    </w:pPr>
    <w:r>
      <w:rPr>
        <w:rStyle w:val="af4"/>
      </w:rPr>
      <w:fldChar w:fldCharType="begin"/>
    </w:r>
    <w:r w:rsidR="00796828">
      <w:rPr>
        <w:rStyle w:val="af4"/>
      </w:rPr>
      <w:instrText xml:space="preserve">PAGE  </w:instrText>
    </w:r>
    <w:r>
      <w:rPr>
        <w:rStyle w:val="af4"/>
      </w:rPr>
      <w:fldChar w:fldCharType="end"/>
    </w:r>
  </w:p>
  <w:p w:rsidR="00796828" w:rsidRDefault="00796828" w:rsidP="00C65543">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28" w:rsidRDefault="00597195" w:rsidP="0071581C">
    <w:pPr>
      <w:pStyle w:val="af3"/>
      <w:framePr w:wrap="around" w:vAnchor="text" w:hAnchor="margin" w:xAlign="right" w:y="1"/>
      <w:rPr>
        <w:rStyle w:val="af4"/>
      </w:rPr>
    </w:pPr>
    <w:r>
      <w:rPr>
        <w:rStyle w:val="af4"/>
      </w:rPr>
      <w:fldChar w:fldCharType="begin"/>
    </w:r>
    <w:r w:rsidR="00796828">
      <w:rPr>
        <w:rStyle w:val="af4"/>
      </w:rPr>
      <w:instrText xml:space="preserve">PAGE  </w:instrText>
    </w:r>
    <w:r>
      <w:rPr>
        <w:rStyle w:val="af4"/>
      </w:rPr>
      <w:fldChar w:fldCharType="separate"/>
    </w:r>
    <w:r w:rsidR="00CF5AF5">
      <w:rPr>
        <w:rStyle w:val="af4"/>
        <w:noProof/>
      </w:rPr>
      <w:t>9</w:t>
    </w:r>
    <w:r>
      <w:rPr>
        <w:rStyle w:val="af4"/>
      </w:rPr>
      <w:fldChar w:fldCharType="end"/>
    </w:r>
  </w:p>
  <w:p w:rsidR="00796828" w:rsidRDefault="00796828" w:rsidP="00C65543">
    <w:pPr>
      <w:pStyle w:val="a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28" w:rsidRDefault="0079682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A64" w:rsidRDefault="008B1A64">
      <w:r>
        <w:separator/>
      </w:r>
    </w:p>
  </w:footnote>
  <w:footnote w:type="continuationSeparator" w:id="1">
    <w:p w:rsidR="008B1A64" w:rsidRDefault="008B1A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28" w:rsidRDefault="0079682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28" w:rsidRDefault="00796828">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28" w:rsidRDefault="0079682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8"/>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nsid w:val="0123519E"/>
    <w:multiLevelType w:val="hybridMultilevel"/>
    <w:tmpl w:val="D31C67A0"/>
    <w:lvl w:ilvl="0" w:tplc="9286A046">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013D3A16"/>
    <w:multiLevelType w:val="hybridMultilevel"/>
    <w:tmpl w:val="34B6BC6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31B43F1"/>
    <w:multiLevelType w:val="hybridMultilevel"/>
    <w:tmpl w:val="705ABB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AD6793"/>
    <w:multiLevelType w:val="hybridMultilevel"/>
    <w:tmpl w:val="8D20AB0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0EF920D2"/>
    <w:multiLevelType w:val="hybridMultilevel"/>
    <w:tmpl w:val="A474A0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24E7C56"/>
    <w:multiLevelType w:val="hybridMultilevel"/>
    <w:tmpl w:val="6AB669B4"/>
    <w:lvl w:ilvl="0" w:tplc="0422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7">
    <w:nsid w:val="13461629"/>
    <w:multiLevelType w:val="hybridMultilevel"/>
    <w:tmpl w:val="115EC2F8"/>
    <w:lvl w:ilvl="0" w:tplc="50763F20">
      <w:start w:val="4"/>
      <w:numFmt w:val="decimal"/>
      <w:pStyle w:val="1"/>
      <w:lvlText w:val="%1"/>
      <w:lvlJc w:val="left"/>
      <w:pPr>
        <w:tabs>
          <w:tab w:val="num" w:pos="720"/>
        </w:tabs>
        <w:ind w:left="720" w:hanging="360"/>
      </w:pPr>
      <w:rPr>
        <w:rFonts w:hint="default"/>
      </w:rPr>
    </w:lvl>
    <w:lvl w:ilvl="1" w:tplc="04190019">
      <w:start w:val="1"/>
      <w:numFmt w:val="lowerLetter"/>
      <w:pStyle w:val="2"/>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B219E7"/>
    <w:multiLevelType w:val="hybridMultilevel"/>
    <w:tmpl w:val="D72066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D63391"/>
    <w:multiLevelType w:val="hybridMultilevel"/>
    <w:tmpl w:val="10B8B07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1EF264A4"/>
    <w:multiLevelType w:val="hybridMultilevel"/>
    <w:tmpl w:val="0D606AE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F2E4DE4"/>
    <w:multiLevelType w:val="hybridMultilevel"/>
    <w:tmpl w:val="E26AA854"/>
    <w:lvl w:ilvl="0" w:tplc="AB5A1E0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6FB2DA2"/>
    <w:multiLevelType w:val="hybridMultilevel"/>
    <w:tmpl w:val="C470AC68"/>
    <w:lvl w:ilvl="0" w:tplc="AB5A1E0A">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D2C2F03"/>
    <w:multiLevelType w:val="hybridMultilevel"/>
    <w:tmpl w:val="708AD82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30D51CB6"/>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pStyle w:val="3"/>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nsid w:val="315A0180"/>
    <w:multiLevelType w:val="hybridMultilevel"/>
    <w:tmpl w:val="D3700828"/>
    <w:lvl w:ilvl="0" w:tplc="821E4A8C">
      <w:start w:val="1"/>
      <w:numFmt w:val="russianLower"/>
      <w:lvlText w:val="%1)"/>
      <w:lvlJc w:val="left"/>
      <w:pPr>
        <w:ind w:left="1080" w:hanging="360"/>
      </w:pPr>
      <w:rPr>
        <w:rFonts w:hint="default"/>
      </w:rPr>
    </w:lvl>
    <w:lvl w:ilvl="1" w:tplc="CA3E57EC">
      <w:start w:val="1"/>
      <w:numFmt w:val="lowerRoman"/>
      <w:lvlText w:val="%2)"/>
      <w:lvlJc w:val="left"/>
      <w:pPr>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59F5378"/>
    <w:multiLevelType w:val="hybridMultilevel"/>
    <w:tmpl w:val="BB124DFE"/>
    <w:lvl w:ilvl="0" w:tplc="CA3E57EC">
      <w:start w:val="1"/>
      <w:numFmt w:val="lowerRoman"/>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7">
    <w:nsid w:val="44621A1F"/>
    <w:multiLevelType w:val="hybridMultilevel"/>
    <w:tmpl w:val="E07CB83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46C82CAC"/>
    <w:multiLevelType w:val="hybridMultilevel"/>
    <w:tmpl w:val="FC54D2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82741A1"/>
    <w:multiLevelType w:val="hybridMultilevel"/>
    <w:tmpl w:val="EF48500A"/>
    <w:lvl w:ilvl="0" w:tplc="A70ADA5E">
      <w:start w:val="3"/>
      <w:numFmt w:val="bullet"/>
      <w:lvlText w:val="-"/>
      <w:lvlJc w:val="left"/>
      <w:pPr>
        <w:ind w:left="1428" w:hanging="360"/>
      </w:pPr>
      <w:rPr>
        <w:rFonts w:ascii="Times New Roman" w:eastAsia="Times New Roman" w:hAnsi="Times New Roman" w:cs="Times New Roman" w:hint="default"/>
        <w:color w:val="auto"/>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0">
    <w:nsid w:val="4D6F58B8"/>
    <w:multiLevelType w:val="hybridMultilevel"/>
    <w:tmpl w:val="8444CF2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1">
    <w:nsid w:val="525434EE"/>
    <w:multiLevelType w:val="hybridMultilevel"/>
    <w:tmpl w:val="77EC3B82"/>
    <w:lvl w:ilvl="0" w:tplc="8AA688FC">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54311EB5"/>
    <w:multiLevelType w:val="multilevel"/>
    <w:tmpl w:val="E1B2001A"/>
    <w:lvl w:ilvl="0">
      <w:start w:val="1"/>
      <w:numFmt w:val="decimal"/>
      <w:pStyle w:val="a"/>
      <w:lvlText w:val="%1."/>
      <w:lvlJc w:val="left"/>
      <w:pPr>
        <w:ind w:left="3763"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3">
    <w:nsid w:val="568D1AC6"/>
    <w:multiLevelType w:val="hybridMultilevel"/>
    <w:tmpl w:val="DEF8604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nsid w:val="570535EE"/>
    <w:multiLevelType w:val="hybridMultilevel"/>
    <w:tmpl w:val="F8DEEA14"/>
    <w:lvl w:ilvl="0" w:tplc="04220001">
      <w:start w:val="1"/>
      <w:numFmt w:val="bullet"/>
      <w:lvlText w:val=""/>
      <w:lvlJc w:val="left"/>
      <w:pPr>
        <w:ind w:left="1287"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nsid w:val="59EC734F"/>
    <w:multiLevelType w:val="hybridMultilevel"/>
    <w:tmpl w:val="D5920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3F45485"/>
    <w:multiLevelType w:val="hybridMultilevel"/>
    <w:tmpl w:val="884EBFB8"/>
    <w:lvl w:ilvl="0" w:tplc="CA3E57EC">
      <w:start w:val="1"/>
      <w:numFmt w:val="lowerRoman"/>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nsid w:val="64184964"/>
    <w:multiLevelType w:val="hybridMultilevel"/>
    <w:tmpl w:val="B00C6A1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8">
    <w:nsid w:val="663851EE"/>
    <w:multiLevelType w:val="hybridMultilevel"/>
    <w:tmpl w:val="B20E52B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70344385"/>
    <w:multiLevelType w:val="hybridMultilevel"/>
    <w:tmpl w:val="F596FF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5AF1E57"/>
    <w:multiLevelType w:val="hybridMultilevel"/>
    <w:tmpl w:val="5C2A1C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87F725E"/>
    <w:multiLevelType w:val="hybridMultilevel"/>
    <w:tmpl w:val="7EDC631A"/>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2">
    <w:nsid w:val="78AE0818"/>
    <w:multiLevelType w:val="hybridMultilevel"/>
    <w:tmpl w:val="80E67B6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nsid w:val="7C452E26"/>
    <w:multiLevelType w:val="hybridMultilevel"/>
    <w:tmpl w:val="6A384D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F1342F3"/>
    <w:multiLevelType w:val="hybridMultilevel"/>
    <w:tmpl w:val="338E5DE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nsid w:val="7F2B66EC"/>
    <w:multiLevelType w:val="hybridMultilevel"/>
    <w:tmpl w:val="82AEF672"/>
    <w:lvl w:ilvl="0" w:tplc="3B9C2ECC">
      <w:numFmt w:val="bullet"/>
      <w:lvlText w:val="-"/>
      <w:lvlJc w:val="left"/>
      <w:pPr>
        <w:ind w:left="1777"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4"/>
  </w:num>
  <w:num w:numId="2">
    <w:abstractNumId w:val="7"/>
  </w:num>
  <w:num w:numId="3">
    <w:abstractNumId w:val="11"/>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3"/>
  </w:num>
  <w:num w:numId="7">
    <w:abstractNumId w:val="17"/>
  </w:num>
  <w:num w:numId="8">
    <w:abstractNumId w:val="21"/>
  </w:num>
  <w:num w:numId="9">
    <w:abstractNumId w:val="34"/>
  </w:num>
  <w:num w:numId="10">
    <w:abstractNumId w:val="6"/>
  </w:num>
  <w:num w:numId="11">
    <w:abstractNumId w:val="15"/>
  </w:num>
  <w:num w:numId="12">
    <w:abstractNumId w:val="22"/>
  </w:num>
  <w:num w:numId="13">
    <w:abstractNumId w:val="25"/>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7"/>
  </w:num>
  <w:num w:numId="18">
    <w:abstractNumId w:val="4"/>
  </w:num>
  <w:num w:numId="19">
    <w:abstractNumId w:val="9"/>
  </w:num>
  <w:num w:numId="20">
    <w:abstractNumId w:val="12"/>
  </w:num>
  <w:num w:numId="21">
    <w:abstractNumId w:val="1"/>
  </w:num>
  <w:num w:numId="22">
    <w:abstractNumId w:val="30"/>
  </w:num>
  <w:num w:numId="23">
    <w:abstractNumId w:val="29"/>
  </w:num>
  <w:num w:numId="24">
    <w:abstractNumId w:val="3"/>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8"/>
  </w:num>
  <w:num w:numId="28">
    <w:abstractNumId w:val="2"/>
  </w:num>
  <w:num w:numId="29">
    <w:abstractNumId w:val="31"/>
  </w:num>
  <w:num w:numId="30">
    <w:abstractNumId w:val="28"/>
  </w:num>
  <w:num w:numId="31">
    <w:abstractNumId w:val="32"/>
  </w:num>
  <w:num w:numId="32">
    <w:abstractNumId w:val="22"/>
    <w:lvlOverride w:ilvl="0">
      <w:startOverride w:val="11"/>
    </w:lvlOverride>
    <w:lvlOverride w:ilvl="1">
      <w:startOverride w:val="7"/>
    </w:lvlOverride>
  </w:num>
  <w:num w:numId="33">
    <w:abstractNumId w:val="5"/>
  </w:num>
  <w:num w:numId="34">
    <w:abstractNumId w:val="33"/>
  </w:num>
  <w:num w:numId="35">
    <w:abstractNumId w:val="20"/>
  </w:num>
  <w:num w:numId="36">
    <w:abstractNumId w:val="26"/>
  </w:num>
  <w:num w:numId="37">
    <w:abstractNumId w:val="16"/>
  </w:num>
  <w:num w:numId="38">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stylePaneFormatFilter w:val="3F01"/>
  <w:defaultTabStop w:val="708"/>
  <w:hyphenationZone w:val="425"/>
  <w:characterSpacingControl w:val="doNotCompress"/>
  <w:footnotePr>
    <w:footnote w:id="0"/>
    <w:footnote w:id="1"/>
  </w:footnotePr>
  <w:endnotePr>
    <w:endnote w:id="0"/>
    <w:endnote w:id="1"/>
  </w:endnotePr>
  <w:compat/>
  <w:rsids>
    <w:rsidRoot w:val="00ED272F"/>
    <w:rsid w:val="00000753"/>
    <w:rsid w:val="00000C35"/>
    <w:rsid w:val="00002BC4"/>
    <w:rsid w:val="0000344A"/>
    <w:rsid w:val="00005B72"/>
    <w:rsid w:val="00011634"/>
    <w:rsid w:val="000132D9"/>
    <w:rsid w:val="00021262"/>
    <w:rsid w:val="00021764"/>
    <w:rsid w:val="00023291"/>
    <w:rsid w:val="0002441A"/>
    <w:rsid w:val="00036954"/>
    <w:rsid w:val="00043D27"/>
    <w:rsid w:val="00045192"/>
    <w:rsid w:val="00047A96"/>
    <w:rsid w:val="00050504"/>
    <w:rsid w:val="00050DCD"/>
    <w:rsid w:val="000515BA"/>
    <w:rsid w:val="00051698"/>
    <w:rsid w:val="00052158"/>
    <w:rsid w:val="00052471"/>
    <w:rsid w:val="00055CC5"/>
    <w:rsid w:val="000572AB"/>
    <w:rsid w:val="00060A18"/>
    <w:rsid w:val="00064DC1"/>
    <w:rsid w:val="000652A7"/>
    <w:rsid w:val="00065E1F"/>
    <w:rsid w:val="000772C8"/>
    <w:rsid w:val="0008007B"/>
    <w:rsid w:val="00085392"/>
    <w:rsid w:val="000878BE"/>
    <w:rsid w:val="00087C84"/>
    <w:rsid w:val="000909C5"/>
    <w:rsid w:val="0009375B"/>
    <w:rsid w:val="000941B6"/>
    <w:rsid w:val="00094AB4"/>
    <w:rsid w:val="000A1A21"/>
    <w:rsid w:val="000A732E"/>
    <w:rsid w:val="000B1964"/>
    <w:rsid w:val="000B26C1"/>
    <w:rsid w:val="000B3C17"/>
    <w:rsid w:val="000B4EFE"/>
    <w:rsid w:val="000B7F51"/>
    <w:rsid w:val="000C0B9A"/>
    <w:rsid w:val="000C1F92"/>
    <w:rsid w:val="000C49B3"/>
    <w:rsid w:val="000C7646"/>
    <w:rsid w:val="000C7BBE"/>
    <w:rsid w:val="000D15FE"/>
    <w:rsid w:val="000D6B76"/>
    <w:rsid w:val="000D752B"/>
    <w:rsid w:val="000F11C7"/>
    <w:rsid w:val="000F1985"/>
    <w:rsid w:val="000F587A"/>
    <w:rsid w:val="00100D19"/>
    <w:rsid w:val="00101400"/>
    <w:rsid w:val="0010221B"/>
    <w:rsid w:val="00117BDE"/>
    <w:rsid w:val="0012244A"/>
    <w:rsid w:val="00122FFB"/>
    <w:rsid w:val="00123CC1"/>
    <w:rsid w:val="00126212"/>
    <w:rsid w:val="00130AEA"/>
    <w:rsid w:val="00131EB8"/>
    <w:rsid w:val="00135C5F"/>
    <w:rsid w:val="00151F39"/>
    <w:rsid w:val="00152246"/>
    <w:rsid w:val="00152829"/>
    <w:rsid w:val="00156E69"/>
    <w:rsid w:val="00171BC7"/>
    <w:rsid w:val="00172228"/>
    <w:rsid w:val="00175252"/>
    <w:rsid w:val="00176E02"/>
    <w:rsid w:val="00181448"/>
    <w:rsid w:val="001848B6"/>
    <w:rsid w:val="0018557E"/>
    <w:rsid w:val="00190253"/>
    <w:rsid w:val="00190C85"/>
    <w:rsid w:val="001915F4"/>
    <w:rsid w:val="001933F4"/>
    <w:rsid w:val="00194C95"/>
    <w:rsid w:val="001A021F"/>
    <w:rsid w:val="001A1FC8"/>
    <w:rsid w:val="001A2E5C"/>
    <w:rsid w:val="001A5FCF"/>
    <w:rsid w:val="001A6DC5"/>
    <w:rsid w:val="001B45CA"/>
    <w:rsid w:val="001B6D18"/>
    <w:rsid w:val="001C0032"/>
    <w:rsid w:val="001C3359"/>
    <w:rsid w:val="001C3C7B"/>
    <w:rsid w:val="001C59F3"/>
    <w:rsid w:val="001D3B5A"/>
    <w:rsid w:val="001D4283"/>
    <w:rsid w:val="001E09E0"/>
    <w:rsid w:val="001E1AFA"/>
    <w:rsid w:val="001E2313"/>
    <w:rsid w:val="001E6088"/>
    <w:rsid w:val="001F1C70"/>
    <w:rsid w:val="001F24A0"/>
    <w:rsid w:val="00200AA5"/>
    <w:rsid w:val="0020250A"/>
    <w:rsid w:val="0020441D"/>
    <w:rsid w:val="00206E6E"/>
    <w:rsid w:val="00226661"/>
    <w:rsid w:val="002348DF"/>
    <w:rsid w:val="002356E0"/>
    <w:rsid w:val="002415D3"/>
    <w:rsid w:val="00242110"/>
    <w:rsid w:val="0024446E"/>
    <w:rsid w:val="00246408"/>
    <w:rsid w:val="002533A2"/>
    <w:rsid w:val="00255AA5"/>
    <w:rsid w:val="00256929"/>
    <w:rsid w:val="002713DA"/>
    <w:rsid w:val="00271967"/>
    <w:rsid w:val="00273192"/>
    <w:rsid w:val="00280F38"/>
    <w:rsid w:val="00282B0C"/>
    <w:rsid w:val="0029019B"/>
    <w:rsid w:val="00291398"/>
    <w:rsid w:val="0029203C"/>
    <w:rsid w:val="00293E65"/>
    <w:rsid w:val="002947BF"/>
    <w:rsid w:val="002961A6"/>
    <w:rsid w:val="0029769A"/>
    <w:rsid w:val="002A2F69"/>
    <w:rsid w:val="002A6AAD"/>
    <w:rsid w:val="002B24F3"/>
    <w:rsid w:val="002B3FF7"/>
    <w:rsid w:val="002C00BA"/>
    <w:rsid w:val="002D2597"/>
    <w:rsid w:val="002D30C3"/>
    <w:rsid w:val="002D324B"/>
    <w:rsid w:val="002E100E"/>
    <w:rsid w:val="002E184F"/>
    <w:rsid w:val="002E57DE"/>
    <w:rsid w:val="002E6BCA"/>
    <w:rsid w:val="002F02BF"/>
    <w:rsid w:val="002F0473"/>
    <w:rsid w:val="002F5779"/>
    <w:rsid w:val="002F592C"/>
    <w:rsid w:val="00306525"/>
    <w:rsid w:val="00311020"/>
    <w:rsid w:val="00312F25"/>
    <w:rsid w:val="00314E7B"/>
    <w:rsid w:val="00315828"/>
    <w:rsid w:val="00315CA5"/>
    <w:rsid w:val="0032083C"/>
    <w:rsid w:val="00320D5F"/>
    <w:rsid w:val="00321F17"/>
    <w:rsid w:val="00326827"/>
    <w:rsid w:val="0033160A"/>
    <w:rsid w:val="00332E68"/>
    <w:rsid w:val="00333A52"/>
    <w:rsid w:val="003361ED"/>
    <w:rsid w:val="00346238"/>
    <w:rsid w:val="00356926"/>
    <w:rsid w:val="00362CC2"/>
    <w:rsid w:val="00363EB3"/>
    <w:rsid w:val="00365A63"/>
    <w:rsid w:val="0037013A"/>
    <w:rsid w:val="0037331C"/>
    <w:rsid w:val="0037554B"/>
    <w:rsid w:val="00381531"/>
    <w:rsid w:val="00381810"/>
    <w:rsid w:val="00381C5E"/>
    <w:rsid w:val="00383D01"/>
    <w:rsid w:val="00387B1F"/>
    <w:rsid w:val="003911CA"/>
    <w:rsid w:val="0039303B"/>
    <w:rsid w:val="003968A7"/>
    <w:rsid w:val="00397955"/>
    <w:rsid w:val="003A1974"/>
    <w:rsid w:val="003A6382"/>
    <w:rsid w:val="003A6938"/>
    <w:rsid w:val="003B1A82"/>
    <w:rsid w:val="003B60F3"/>
    <w:rsid w:val="003B69FD"/>
    <w:rsid w:val="003C0158"/>
    <w:rsid w:val="003C2885"/>
    <w:rsid w:val="003D19D4"/>
    <w:rsid w:val="003D5335"/>
    <w:rsid w:val="003D5FDB"/>
    <w:rsid w:val="003D6E77"/>
    <w:rsid w:val="003E388E"/>
    <w:rsid w:val="003F0DF7"/>
    <w:rsid w:val="003F2AB4"/>
    <w:rsid w:val="003F3879"/>
    <w:rsid w:val="003F4CC2"/>
    <w:rsid w:val="00401229"/>
    <w:rsid w:val="00401587"/>
    <w:rsid w:val="00407780"/>
    <w:rsid w:val="0041213A"/>
    <w:rsid w:val="00414FAD"/>
    <w:rsid w:val="00415EF1"/>
    <w:rsid w:val="00415FE0"/>
    <w:rsid w:val="004169A6"/>
    <w:rsid w:val="004200EC"/>
    <w:rsid w:val="00420ECE"/>
    <w:rsid w:val="004236E0"/>
    <w:rsid w:val="00423A95"/>
    <w:rsid w:val="0042600D"/>
    <w:rsid w:val="00427484"/>
    <w:rsid w:val="00431615"/>
    <w:rsid w:val="00433FD7"/>
    <w:rsid w:val="00434BF7"/>
    <w:rsid w:val="00443A5F"/>
    <w:rsid w:val="00445C3A"/>
    <w:rsid w:val="00465377"/>
    <w:rsid w:val="00467D6C"/>
    <w:rsid w:val="00473387"/>
    <w:rsid w:val="004806C3"/>
    <w:rsid w:val="004914FA"/>
    <w:rsid w:val="004929F6"/>
    <w:rsid w:val="00496495"/>
    <w:rsid w:val="004B043C"/>
    <w:rsid w:val="004B42FA"/>
    <w:rsid w:val="004B6C32"/>
    <w:rsid w:val="004C2BC1"/>
    <w:rsid w:val="004C330D"/>
    <w:rsid w:val="004C396C"/>
    <w:rsid w:val="004C3D46"/>
    <w:rsid w:val="004C5FDB"/>
    <w:rsid w:val="004C65A9"/>
    <w:rsid w:val="004C79D0"/>
    <w:rsid w:val="004D2A5F"/>
    <w:rsid w:val="004D3372"/>
    <w:rsid w:val="004D4554"/>
    <w:rsid w:val="004E043D"/>
    <w:rsid w:val="004E1266"/>
    <w:rsid w:val="004E1647"/>
    <w:rsid w:val="004E2052"/>
    <w:rsid w:val="004E5510"/>
    <w:rsid w:val="004E651A"/>
    <w:rsid w:val="004E79CA"/>
    <w:rsid w:val="00502DDE"/>
    <w:rsid w:val="005039A5"/>
    <w:rsid w:val="005057D1"/>
    <w:rsid w:val="00507AE0"/>
    <w:rsid w:val="00515F29"/>
    <w:rsid w:val="00516DD1"/>
    <w:rsid w:val="00524461"/>
    <w:rsid w:val="00531659"/>
    <w:rsid w:val="0053252C"/>
    <w:rsid w:val="0053427C"/>
    <w:rsid w:val="00534589"/>
    <w:rsid w:val="00536482"/>
    <w:rsid w:val="00537380"/>
    <w:rsid w:val="005413E1"/>
    <w:rsid w:val="00541C7D"/>
    <w:rsid w:val="0055235C"/>
    <w:rsid w:val="00552FF1"/>
    <w:rsid w:val="005535BF"/>
    <w:rsid w:val="00561774"/>
    <w:rsid w:val="0056452A"/>
    <w:rsid w:val="00570BD8"/>
    <w:rsid w:val="005738BF"/>
    <w:rsid w:val="005749E9"/>
    <w:rsid w:val="00576B30"/>
    <w:rsid w:val="005815E5"/>
    <w:rsid w:val="005824E7"/>
    <w:rsid w:val="00583FDD"/>
    <w:rsid w:val="00584554"/>
    <w:rsid w:val="00597195"/>
    <w:rsid w:val="00597424"/>
    <w:rsid w:val="005B3BFF"/>
    <w:rsid w:val="005B4F7C"/>
    <w:rsid w:val="005B63E0"/>
    <w:rsid w:val="005B76E5"/>
    <w:rsid w:val="005B7E9E"/>
    <w:rsid w:val="005C26ED"/>
    <w:rsid w:val="005C33E9"/>
    <w:rsid w:val="005C358F"/>
    <w:rsid w:val="005C4C20"/>
    <w:rsid w:val="005D4E7A"/>
    <w:rsid w:val="005E3962"/>
    <w:rsid w:val="005E619F"/>
    <w:rsid w:val="00601497"/>
    <w:rsid w:val="00621C13"/>
    <w:rsid w:val="006300F1"/>
    <w:rsid w:val="006305FC"/>
    <w:rsid w:val="00632B88"/>
    <w:rsid w:val="00636EAD"/>
    <w:rsid w:val="00637BA4"/>
    <w:rsid w:val="006419B3"/>
    <w:rsid w:val="00642D32"/>
    <w:rsid w:val="006448B6"/>
    <w:rsid w:val="006556E2"/>
    <w:rsid w:val="00655895"/>
    <w:rsid w:val="00656919"/>
    <w:rsid w:val="00661AEA"/>
    <w:rsid w:val="0066291A"/>
    <w:rsid w:val="006629E5"/>
    <w:rsid w:val="0066465E"/>
    <w:rsid w:val="00666F0C"/>
    <w:rsid w:val="00670812"/>
    <w:rsid w:val="00672EC3"/>
    <w:rsid w:val="00673C5C"/>
    <w:rsid w:val="0067554D"/>
    <w:rsid w:val="00677A34"/>
    <w:rsid w:val="00682A82"/>
    <w:rsid w:val="0069383F"/>
    <w:rsid w:val="00694DB4"/>
    <w:rsid w:val="0069515E"/>
    <w:rsid w:val="006955F5"/>
    <w:rsid w:val="006A20FE"/>
    <w:rsid w:val="006A4245"/>
    <w:rsid w:val="006A42DB"/>
    <w:rsid w:val="006A46C4"/>
    <w:rsid w:val="006A5949"/>
    <w:rsid w:val="006B2123"/>
    <w:rsid w:val="006C0AD6"/>
    <w:rsid w:val="006C0F29"/>
    <w:rsid w:val="006C1F29"/>
    <w:rsid w:val="006C4D70"/>
    <w:rsid w:val="006C524A"/>
    <w:rsid w:val="006C6C5D"/>
    <w:rsid w:val="006E18C2"/>
    <w:rsid w:val="006E5FBD"/>
    <w:rsid w:val="006F1B31"/>
    <w:rsid w:val="006F2FE0"/>
    <w:rsid w:val="006F3086"/>
    <w:rsid w:val="006F3BEA"/>
    <w:rsid w:val="006F5E28"/>
    <w:rsid w:val="006F5F35"/>
    <w:rsid w:val="0070090A"/>
    <w:rsid w:val="00703B0F"/>
    <w:rsid w:val="00707DDA"/>
    <w:rsid w:val="0071581C"/>
    <w:rsid w:val="00723EF2"/>
    <w:rsid w:val="00725C3A"/>
    <w:rsid w:val="007275A4"/>
    <w:rsid w:val="00732473"/>
    <w:rsid w:val="00737ABD"/>
    <w:rsid w:val="00751898"/>
    <w:rsid w:val="00751FDF"/>
    <w:rsid w:val="007520B9"/>
    <w:rsid w:val="007529BD"/>
    <w:rsid w:val="00752F30"/>
    <w:rsid w:val="00763DBF"/>
    <w:rsid w:val="0076611A"/>
    <w:rsid w:val="00772F0D"/>
    <w:rsid w:val="00773150"/>
    <w:rsid w:val="00775071"/>
    <w:rsid w:val="0077707A"/>
    <w:rsid w:val="00777E42"/>
    <w:rsid w:val="007818CF"/>
    <w:rsid w:val="00782D14"/>
    <w:rsid w:val="007869BD"/>
    <w:rsid w:val="007909B2"/>
    <w:rsid w:val="00791723"/>
    <w:rsid w:val="00796828"/>
    <w:rsid w:val="00796C5A"/>
    <w:rsid w:val="00797987"/>
    <w:rsid w:val="007B09DA"/>
    <w:rsid w:val="007B0FFF"/>
    <w:rsid w:val="007B1007"/>
    <w:rsid w:val="007B2619"/>
    <w:rsid w:val="007B3C00"/>
    <w:rsid w:val="007C3579"/>
    <w:rsid w:val="007C35E7"/>
    <w:rsid w:val="007D3F2E"/>
    <w:rsid w:val="007E1EB9"/>
    <w:rsid w:val="007F59D0"/>
    <w:rsid w:val="008003B2"/>
    <w:rsid w:val="00803D56"/>
    <w:rsid w:val="0080588B"/>
    <w:rsid w:val="00806D35"/>
    <w:rsid w:val="00812FD5"/>
    <w:rsid w:val="00814D2B"/>
    <w:rsid w:val="00815270"/>
    <w:rsid w:val="008157F6"/>
    <w:rsid w:val="00816165"/>
    <w:rsid w:val="008221D6"/>
    <w:rsid w:val="008224FA"/>
    <w:rsid w:val="00822840"/>
    <w:rsid w:val="00823989"/>
    <w:rsid w:val="00827766"/>
    <w:rsid w:val="008320E7"/>
    <w:rsid w:val="008377A0"/>
    <w:rsid w:val="00837B6C"/>
    <w:rsid w:val="0084089D"/>
    <w:rsid w:val="00840D3D"/>
    <w:rsid w:val="008451C9"/>
    <w:rsid w:val="00845DFE"/>
    <w:rsid w:val="008548F4"/>
    <w:rsid w:val="00862073"/>
    <w:rsid w:val="00864D7D"/>
    <w:rsid w:val="00867893"/>
    <w:rsid w:val="00870833"/>
    <w:rsid w:val="00871496"/>
    <w:rsid w:val="008733B0"/>
    <w:rsid w:val="00876C81"/>
    <w:rsid w:val="00884CD5"/>
    <w:rsid w:val="00886964"/>
    <w:rsid w:val="008903AF"/>
    <w:rsid w:val="00892204"/>
    <w:rsid w:val="00893A1C"/>
    <w:rsid w:val="008957D3"/>
    <w:rsid w:val="0089639E"/>
    <w:rsid w:val="00897CC0"/>
    <w:rsid w:val="008A4F7B"/>
    <w:rsid w:val="008B1A64"/>
    <w:rsid w:val="008B1F92"/>
    <w:rsid w:val="008B2784"/>
    <w:rsid w:val="008B374F"/>
    <w:rsid w:val="008B6AC4"/>
    <w:rsid w:val="008C0DD7"/>
    <w:rsid w:val="008C19F1"/>
    <w:rsid w:val="008C73E7"/>
    <w:rsid w:val="008C755F"/>
    <w:rsid w:val="008D0021"/>
    <w:rsid w:val="008D0D3F"/>
    <w:rsid w:val="008E213F"/>
    <w:rsid w:val="008E456A"/>
    <w:rsid w:val="008E7109"/>
    <w:rsid w:val="008E7340"/>
    <w:rsid w:val="008F151E"/>
    <w:rsid w:val="008F7470"/>
    <w:rsid w:val="008F7B50"/>
    <w:rsid w:val="009021DD"/>
    <w:rsid w:val="0091267E"/>
    <w:rsid w:val="00913CCA"/>
    <w:rsid w:val="009174E4"/>
    <w:rsid w:val="0092123D"/>
    <w:rsid w:val="009235A7"/>
    <w:rsid w:val="0093193E"/>
    <w:rsid w:val="00935A4D"/>
    <w:rsid w:val="009360BE"/>
    <w:rsid w:val="00936891"/>
    <w:rsid w:val="00937697"/>
    <w:rsid w:val="009450A0"/>
    <w:rsid w:val="00953907"/>
    <w:rsid w:val="00956B00"/>
    <w:rsid w:val="00956FF7"/>
    <w:rsid w:val="00961385"/>
    <w:rsid w:val="00961B0B"/>
    <w:rsid w:val="009623D4"/>
    <w:rsid w:val="00962713"/>
    <w:rsid w:val="009633EA"/>
    <w:rsid w:val="0096678D"/>
    <w:rsid w:val="00966D0B"/>
    <w:rsid w:val="00972F0A"/>
    <w:rsid w:val="009749AF"/>
    <w:rsid w:val="0098161C"/>
    <w:rsid w:val="0098374E"/>
    <w:rsid w:val="00985A46"/>
    <w:rsid w:val="009872D7"/>
    <w:rsid w:val="0099357B"/>
    <w:rsid w:val="00995925"/>
    <w:rsid w:val="00996C12"/>
    <w:rsid w:val="009A17C2"/>
    <w:rsid w:val="009A269B"/>
    <w:rsid w:val="009A4542"/>
    <w:rsid w:val="009A4EE6"/>
    <w:rsid w:val="009B0326"/>
    <w:rsid w:val="009B3447"/>
    <w:rsid w:val="009B4C4D"/>
    <w:rsid w:val="009C0991"/>
    <w:rsid w:val="009C6E75"/>
    <w:rsid w:val="009D3E7D"/>
    <w:rsid w:val="009D7BC1"/>
    <w:rsid w:val="009E0D32"/>
    <w:rsid w:val="009E235A"/>
    <w:rsid w:val="009E3653"/>
    <w:rsid w:val="009F00E0"/>
    <w:rsid w:val="009F2008"/>
    <w:rsid w:val="009F2214"/>
    <w:rsid w:val="009F5579"/>
    <w:rsid w:val="00A005F3"/>
    <w:rsid w:val="00A01440"/>
    <w:rsid w:val="00A02B9E"/>
    <w:rsid w:val="00A056D6"/>
    <w:rsid w:val="00A10369"/>
    <w:rsid w:val="00A109C1"/>
    <w:rsid w:val="00A12C5C"/>
    <w:rsid w:val="00A13C6A"/>
    <w:rsid w:val="00A20A3F"/>
    <w:rsid w:val="00A212DF"/>
    <w:rsid w:val="00A24952"/>
    <w:rsid w:val="00A319F7"/>
    <w:rsid w:val="00A34251"/>
    <w:rsid w:val="00A34473"/>
    <w:rsid w:val="00A37256"/>
    <w:rsid w:val="00A42D03"/>
    <w:rsid w:val="00A524DE"/>
    <w:rsid w:val="00A53C31"/>
    <w:rsid w:val="00A6285F"/>
    <w:rsid w:val="00A66B06"/>
    <w:rsid w:val="00A72708"/>
    <w:rsid w:val="00A75D79"/>
    <w:rsid w:val="00A76076"/>
    <w:rsid w:val="00A80CA2"/>
    <w:rsid w:val="00A91986"/>
    <w:rsid w:val="00A9225D"/>
    <w:rsid w:val="00A9494C"/>
    <w:rsid w:val="00AA0085"/>
    <w:rsid w:val="00AA22A3"/>
    <w:rsid w:val="00AA7C10"/>
    <w:rsid w:val="00AB26D5"/>
    <w:rsid w:val="00AB56DD"/>
    <w:rsid w:val="00AC2798"/>
    <w:rsid w:val="00AC7ED4"/>
    <w:rsid w:val="00AD25CC"/>
    <w:rsid w:val="00AD3CD6"/>
    <w:rsid w:val="00AE3284"/>
    <w:rsid w:val="00AF1AD1"/>
    <w:rsid w:val="00AF5571"/>
    <w:rsid w:val="00AF7C7B"/>
    <w:rsid w:val="00B007CA"/>
    <w:rsid w:val="00B023F5"/>
    <w:rsid w:val="00B03BCF"/>
    <w:rsid w:val="00B03EA2"/>
    <w:rsid w:val="00B046A9"/>
    <w:rsid w:val="00B06C11"/>
    <w:rsid w:val="00B073C4"/>
    <w:rsid w:val="00B11925"/>
    <w:rsid w:val="00B16A26"/>
    <w:rsid w:val="00B16EB0"/>
    <w:rsid w:val="00B22250"/>
    <w:rsid w:val="00B22259"/>
    <w:rsid w:val="00B2437F"/>
    <w:rsid w:val="00B25715"/>
    <w:rsid w:val="00B31A74"/>
    <w:rsid w:val="00B341A0"/>
    <w:rsid w:val="00B407D9"/>
    <w:rsid w:val="00B40F63"/>
    <w:rsid w:val="00B41EC3"/>
    <w:rsid w:val="00B435E8"/>
    <w:rsid w:val="00B45B9D"/>
    <w:rsid w:val="00B5198B"/>
    <w:rsid w:val="00B55263"/>
    <w:rsid w:val="00B55D99"/>
    <w:rsid w:val="00B571DA"/>
    <w:rsid w:val="00B61348"/>
    <w:rsid w:val="00B63431"/>
    <w:rsid w:val="00B6404E"/>
    <w:rsid w:val="00B665A5"/>
    <w:rsid w:val="00B747F2"/>
    <w:rsid w:val="00B81406"/>
    <w:rsid w:val="00B815D9"/>
    <w:rsid w:val="00B81E2A"/>
    <w:rsid w:val="00B8481D"/>
    <w:rsid w:val="00B8488D"/>
    <w:rsid w:val="00B853E9"/>
    <w:rsid w:val="00B85F4B"/>
    <w:rsid w:val="00B93017"/>
    <w:rsid w:val="00BA130E"/>
    <w:rsid w:val="00BA5257"/>
    <w:rsid w:val="00BA554C"/>
    <w:rsid w:val="00BA5C5E"/>
    <w:rsid w:val="00BB106C"/>
    <w:rsid w:val="00BB16ED"/>
    <w:rsid w:val="00BB32C0"/>
    <w:rsid w:val="00BB7D6A"/>
    <w:rsid w:val="00BC4A23"/>
    <w:rsid w:val="00BC520E"/>
    <w:rsid w:val="00BC5701"/>
    <w:rsid w:val="00BC655A"/>
    <w:rsid w:val="00BD2177"/>
    <w:rsid w:val="00BD4C35"/>
    <w:rsid w:val="00BD6DDF"/>
    <w:rsid w:val="00BD7C78"/>
    <w:rsid w:val="00BE2AB9"/>
    <w:rsid w:val="00BF1FA1"/>
    <w:rsid w:val="00BF3236"/>
    <w:rsid w:val="00BF3449"/>
    <w:rsid w:val="00BF3FC5"/>
    <w:rsid w:val="00C00920"/>
    <w:rsid w:val="00C133E0"/>
    <w:rsid w:val="00C15D7E"/>
    <w:rsid w:val="00C23B6F"/>
    <w:rsid w:val="00C30AFF"/>
    <w:rsid w:val="00C374C1"/>
    <w:rsid w:val="00C425DC"/>
    <w:rsid w:val="00C459BB"/>
    <w:rsid w:val="00C45D8B"/>
    <w:rsid w:val="00C52F6D"/>
    <w:rsid w:val="00C547D9"/>
    <w:rsid w:val="00C56362"/>
    <w:rsid w:val="00C65543"/>
    <w:rsid w:val="00C7029D"/>
    <w:rsid w:val="00C72F6F"/>
    <w:rsid w:val="00C73A2A"/>
    <w:rsid w:val="00C779F7"/>
    <w:rsid w:val="00C97C9B"/>
    <w:rsid w:val="00CA0E56"/>
    <w:rsid w:val="00CA3837"/>
    <w:rsid w:val="00CA5B2D"/>
    <w:rsid w:val="00CB6B17"/>
    <w:rsid w:val="00CC3E2F"/>
    <w:rsid w:val="00CD0D85"/>
    <w:rsid w:val="00CD2C8C"/>
    <w:rsid w:val="00CD3D11"/>
    <w:rsid w:val="00CD49BE"/>
    <w:rsid w:val="00CE4518"/>
    <w:rsid w:val="00CE49C0"/>
    <w:rsid w:val="00CE4A56"/>
    <w:rsid w:val="00CE6538"/>
    <w:rsid w:val="00CE6C58"/>
    <w:rsid w:val="00CF1001"/>
    <w:rsid w:val="00CF5AF5"/>
    <w:rsid w:val="00CF6D9F"/>
    <w:rsid w:val="00D01F94"/>
    <w:rsid w:val="00D060B2"/>
    <w:rsid w:val="00D10E90"/>
    <w:rsid w:val="00D12694"/>
    <w:rsid w:val="00D161F9"/>
    <w:rsid w:val="00D23DD3"/>
    <w:rsid w:val="00D245D5"/>
    <w:rsid w:val="00D25220"/>
    <w:rsid w:val="00D27940"/>
    <w:rsid w:val="00D27BAF"/>
    <w:rsid w:val="00D3092A"/>
    <w:rsid w:val="00D31FCB"/>
    <w:rsid w:val="00D32F3D"/>
    <w:rsid w:val="00D33EC7"/>
    <w:rsid w:val="00D35A10"/>
    <w:rsid w:val="00D35A53"/>
    <w:rsid w:val="00D35FDD"/>
    <w:rsid w:val="00D4334D"/>
    <w:rsid w:val="00D44175"/>
    <w:rsid w:val="00D45971"/>
    <w:rsid w:val="00D47163"/>
    <w:rsid w:val="00D50C45"/>
    <w:rsid w:val="00D51CE6"/>
    <w:rsid w:val="00D542E2"/>
    <w:rsid w:val="00D609E9"/>
    <w:rsid w:val="00D638FE"/>
    <w:rsid w:val="00D6553A"/>
    <w:rsid w:val="00D6656A"/>
    <w:rsid w:val="00D70EDB"/>
    <w:rsid w:val="00D7355A"/>
    <w:rsid w:val="00D77B22"/>
    <w:rsid w:val="00D809AF"/>
    <w:rsid w:val="00D826A8"/>
    <w:rsid w:val="00D829BC"/>
    <w:rsid w:val="00D83704"/>
    <w:rsid w:val="00D8476E"/>
    <w:rsid w:val="00D84F9C"/>
    <w:rsid w:val="00D910D6"/>
    <w:rsid w:val="00D92C0F"/>
    <w:rsid w:val="00D957B1"/>
    <w:rsid w:val="00D963BF"/>
    <w:rsid w:val="00DA0901"/>
    <w:rsid w:val="00DA0E03"/>
    <w:rsid w:val="00DA165B"/>
    <w:rsid w:val="00DA3487"/>
    <w:rsid w:val="00DB32C2"/>
    <w:rsid w:val="00DB634C"/>
    <w:rsid w:val="00DC20F3"/>
    <w:rsid w:val="00DC2B60"/>
    <w:rsid w:val="00DD3016"/>
    <w:rsid w:val="00DD40B3"/>
    <w:rsid w:val="00DD6EEB"/>
    <w:rsid w:val="00DD745B"/>
    <w:rsid w:val="00DE0D7F"/>
    <w:rsid w:val="00DE2DB0"/>
    <w:rsid w:val="00DE7801"/>
    <w:rsid w:val="00DF7C9C"/>
    <w:rsid w:val="00E0472B"/>
    <w:rsid w:val="00E04DA7"/>
    <w:rsid w:val="00E05B9F"/>
    <w:rsid w:val="00E06313"/>
    <w:rsid w:val="00E13389"/>
    <w:rsid w:val="00E16C84"/>
    <w:rsid w:val="00E17261"/>
    <w:rsid w:val="00E2091F"/>
    <w:rsid w:val="00E20B80"/>
    <w:rsid w:val="00E247F6"/>
    <w:rsid w:val="00E26637"/>
    <w:rsid w:val="00E30933"/>
    <w:rsid w:val="00E32498"/>
    <w:rsid w:val="00E32BC2"/>
    <w:rsid w:val="00E3678D"/>
    <w:rsid w:val="00E40816"/>
    <w:rsid w:val="00E42D95"/>
    <w:rsid w:val="00E5104F"/>
    <w:rsid w:val="00E53259"/>
    <w:rsid w:val="00E5352D"/>
    <w:rsid w:val="00E57992"/>
    <w:rsid w:val="00E61395"/>
    <w:rsid w:val="00E67C8A"/>
    <w:rsid w:val="00E7754A"/>
    <w:rsid w:val="00E839CD"/>
    <w:rsid w:val="00E86C99"/>
    <w:rsid w:val="00EA0B5D"/>
    <w:rsid w:val="00EA0D46"/>
    <w:rsid w:val="00EA44F9"/>
    <w:rsid w:val="00EA4D86"/>
    <w:rsid w:val="00EA6972"/>
    <w:rsid w:val="00EB0E23"/>
    <w:rsid w:val="00EC05FB"/>
    <w:rsid w:val="00EC0661"/>
    <w:rsid w:val="00EC12FD"/>
    <w:rsid w:val="00EC29C9"/>
    <w:rsid w:val="00EC399C"/>
    <w:rsid w:val="00ED1744"/>
    <w:rsid w:val="00ED272F"/>
    <w:rsid w:val="00ED4A77"/>
    <w:rsid w:val="00EE1C53"/>
    <w:rsid w:val="00EE20FA"/>
    <w:rsid w:val="00EF0E40"/>
    <w:rsid w:val="00EF2BFC"/>
    <w:rsid w:val="00EF40C8"/>
    <w:rsid w:val="00EF6F24"/>
    <w:rsid w:val="00F01BD0"/>
    <w:rsid w:val="00F05FED"/>
    <w:rsid w:val="00F06182"/>
    <w:rsid w:val="00F112FB"/>
    <w:rsid w:val="00F138A7"/>
    <w:rsid w:val="00F13FCA"/>
    <w:rsid w:val="00F165B8"/>
    <w:rsid w:val="00F17A34"/>
    <w:rsid w:val="00F25402"/>
    <w:rsid w:val="00F31643"/>
    <w:rsid w:val="00F33EEF"/>
    <w:rsid w:val="00F3435E"/>
    <w:rsid w:val="00F350B5"/>
    <w:rsid w:val="00F40CF2"/>
    <w:rsid w:val="00F43088"/>
    <w:rsid w:val="00F43089"/>
    <w:rsid w:val="00F4335B"/>
    <w:rsid w:val="00F61399"/>
    <w:rsid w:val="00F661FD"/>
    <w:rsid w:val="00F67EF3"/>
    <w:rsid w:val="00F86369"/>
    <w:rsid w:val="00F86665"/>
    <w:rsid w:val="00F86818"/>
    <w:rsid w:val="00F91C9D"/>
    <w:rsid w:val="00F9239E"/>
    <w:rsid w:val="00F97FDA"/>
    <w:rsid w:val="00FA0894"/>
    <w:rsid w:val="00FA1975"/>
    <w:rsid w:val="00FA2E4A"/>
    <w:rsid w:val="00FA366A"/>
    <w:rsid w:val="00FA715B"/>
    <w:rsid w:val="00FA7F1B"/>
    <w:rsid w:val="00FB2F33"/>
    <w:rsid w:val="00FB553F"/>
    <w:rsid w:val="00FB55A9"/>
    <w:rsid w:val="00FB7E2D"/>
    <w:rsid w:val="00FC0E71"/>
    <w:rsid w:val="00FC3AD8"/>
    <w:rsid w:val="00FD2EB5"/>
    <w:rsid w:val="00FD6F02"/>
    <w:rsid w:val="00FE1C8C"/>
    <w:rsid w:val="00FE26F0"/>
    <w:rsid w:val="00FE4FD0"/>
    <w:rsid w:val="00FF010A"/>
    <w:rsid w:val="00FF0CD5"/>
    <w:rsid w:val="00FF17CE"/>
    <w:rsid w:val="00FF4B46"/>
    <w:rsid w:val="00FF6C9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51FDF"/>
    <w:pPr>
      <w:spacing w:after="200" w:line="276" w:lineRule="auto"/>
    </w:pPr>
    <w:rPr>
      <w:rFonts w:ascii="Calibri" w:eastAsia="Calibri" w:hAnsi="Calibri"/>
      <w:sz w:val="22"/>
      <w:szCs w:val="22"/>
      <w:lang w:eastAsia="en-US"/>
    </w:rPr>
  </w:style>
  <w:style w:type="paragraph" w:styleId="1">
    <w:name w:val="heading 1"/>
    <w:basedOn w:val="a1"/>
    <w:next w:val="a2"/>
    <w:link w:val="10"/>
    <w:qFormat/>
    <w:rsid w:val="00A75D79"/>
    <w:pPr>
      <w:numPr>
        <w:numId w:val="2"/>
      </w:numPr>
      <w:spacing w:before="720" w:after="119"/>
      <w:ind w:firstLine="0"/>
      <w:outlineLvl w:val="0"/>
    </w:pPr>
  </w:style>
  <w:style w:type="paragraph" w:styleId="2">
    <w:name w:val="heading 2"/>
    <w:basedOn w:val="a1"/>
    <w:next w:val="a2"/>
    <w:link w:val="20"/>
    <w:qFormat/>
    <w:rsid w:val="00A75D79"/>
    <w:pPr>
      <w:numPr>
        <w:ilvl w:val="1"/>
        <w:numId w:val="2"/>
      </w:numPr>
      <w:spacing w:before="238" w:after="119"/>
      <w:ind w:firstLine="0"/>
      <w:outlineLvl w:val="1"/>
    </w:pPr>
  </w:style>
  <w:style w:type="paragraph" w:styleId="3">
    <w:name w:val="heading 3"/>
    <w:basedOn w:val="a1"/>
    <w:next w:val="a2"/>
    <w:link w:val="30"/>
    <w:qFormat/>
    <w:rsid w:val="00A75D79"/>
    <w:pPr>
      <w:numPr>
        <w:ilvl w:val="2"/>
        <w:numId w:val="1"/>
      </w:numPr>
      <w:spacing w:before="238" w:after="0"/>
      <w:outlineLvl w:val="2"/>
    </w:pPr>
    <w:rPr>
      <w:b w:val="0"/>
      <w:bCs w:val="0"/>
      <w:i/>
      <w:iC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0"/>
    <w:rsid w:val="00BD2177"/>
    <w:pPr>
      <w:spacing w:after="0" w:line="240" w:lineRule="auto"/>
      <w:ind w:firstLine="360"/>
    </w:pPr>
    <w:rPr>
      <w:rFonts w:ascii="Times New Roman" w:eastAsia="Times New Roman" w:hAnsi="Times New Roman"/>
      <w:sz w:val="24"/>
      <w:szCs w:val="24"/>
      <w:lang w:eastAsia="ru-RU"/>
    </w:rPr>
  </w:style>
  <w:style w:type="paragraph" w:styleId="a7">
    <w:name w:val="Normal (Web)"/>
    <w:basedOn w:val="a0"/>
    <w:link w:val="a8"/>
    <w:uiPriority w:val="99"/>
    <w:rsid w:val="00DB634C"/>
    <w:pPr>
      <w:spacing w:before="100" w:beforeAutospacing="1" w:after="100" w:afterAutospacing="1" w:line="240" w:lineRule="auto"/>
    </w:pPr>
    <w:rPr>
      <w:rFonts w:ascii="Times New Roman" w:eastAsia="Times New Roman" w:hAnsi="Times New Roman"/>
      <w:sz w:val="24"/>
      <w:szCs w:val="24"/>
    </w:rPr>
  </w:style>
  <w:style w:type="paragraph" w:styleId="a9">
    <w:name w:val="header"/>
    <w:basedOn w:val="a0"/>
    <w:rsid w:val="005D4E7A"/>
    <w:pPr>
      <w:tabs>
        <w:tab w:val="center" w:pos="4819"/>
        <w:tab w:val="right" w:pos="9639"/>
      </w:tabs>
      <w:spacing w:after="0" w:line="240" w:lineRule="auto"/>
    </w:pPr>
    <w:rPr>
      <w:rFonts w:ascii="Times New Roman" w:eastAsia="Times New Roman" w:hAnsi="Times New Roman"/>
      <w:sz w:val="20"/>
      <w:szCs w:val="20"/>
      <w:lang w:eastAsia="ru-RU"/>
    </w:rPr>
  </w:style>
  <w:style w:type="paragraph" w:customStyle="1" w:styleId="21">
    <w:name w:val="Основной текст с отступом 21"/>
    <w:basedOn w:val="a0"/>
    <w:rsid w:val="00A34473"/>
    <w:pPr>
      <w:spacing w:after="0" w:line="240" w:lineRule="auto"/>
      <w:ind w:firstLine="720"/>
      <w:jc w:val="both"/>
    </w:pPr>
    <w:rPr>
      <w:rFonts w:ascii="Times New Roman CYR" w:eastAsia="Times New Roman" w:hAnsi="Times New Roman CYR"/>
      <w:b/>
      <w:sz w:val="24"/>
      <w:szCs w:val="20"/>
      <w:lang w:eastAsia="ru-RU"/>
    </w:rPr>
  </w:style>
  <w:style w:type="paragraph" w:customStyle="1" w:styleId="ABC-paragrahinNotes">
    <w:name w:val="ABC - paragrah in Notes"/>
    <w:link w:val="ABC-paragrahinNotesChar"/>
    <w:uiPriority w:val="99"/>
    <w:rsid w:val="00005B72"/>
    <w:pPr>
      <w:spacing w:after="240"/>
      <w:jc w:val="both"/>
    </w:pPr>
    <w:rPr>
      <w:rFonts w:ascii="Arial" w:hAnsi="Arial"/>
      <w:lang w:val="en-GB"/>
    </w:rPr>
  </w:style>
  <w:style w:type="character" w:customStyle="1" w:styleId="grame">
    <w:name w:val="grame"/>
    <w:basedOn w:val="a3"/>
    <w:rsid w:val="00BA130E"/>
  </w:style>
  <w:style w:type="paragraph" w:styleId="a2">
    <w:name w:val="Body Text"/>
    <w:basedOn w:val="a0"/>
    <w:link w:val="aa"/>
    <w:rsid w:val="00E3678D"/>
    <w:pPr>
      <w:spacing w:after="120"/>
    </w:pPr>
  </w:style>
  <w:style w:type="character" w:customStyle="1" w:styleId="aa">
    <w:name w:val="Основной текст Знак"/>
    <w:link w:val="a2"/>
    <w:rsid w:val="00E3678D"/>
    <w:rPr>
      <w:rFonts w:ascii="Calibri" w:eastAsia="Calibri" w:hAnsi="Calibri"/>
      <w:sz w:val="22"/>
      <w:szCs w:val="22"/>
      <w:lang w:val="uk-UA" w:eastAsia="en-US"/>
    </w:rPr>
  </w:style>
  <w:style w:type="paragraph" w:styleId="a1">
    <w:name w:val="Title"/>
    <w:basedOn w:val="a0"/>
    <w:next w:val="a2"/>
    <w:link w:val="ab"/>
    <w:qFormat/>
    <w:rsid w:val="00E3678D"/>
    <w:pPr>
      <w:keepNext/>
      <w:widowControl w:val="0"/>
      <w:suppressAutoHyphens/>
      <w:spacing w:before="283" w:after="113" w:line="240" w:lineRule="auto"/>
      <w:ind w:firstLine="567"/>
    </w:pPr>
    <w:rPr>
      <w:rFonts w:ascii="Times New Roman" w:hAnsi="Times New Roman"/>
      <w:b/>
      <w:bCs/>
      <w:sz w:val="24"/>
      <w:szCs w:val="24"/>
      <w:lang w:val="ru-RU" w:eastAsia="ru-RU"/>
    </w:rPr>
  </w:style>
  <w:style w:type="table" w:styleId="ac">
    <w:name w:val="Table Grid"/>
    <w:basedOn w:val="a4"/>
    <w:rsid w:val="00123C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A75D79"/>
    <w:rPr>
      <w:rFonts w:eastAsia="Calibri"/>
      <w:b/>
      <w:bCs/>
      <w:sz w:val="24"/>
      <w:szCs w:val="24"/>
    </w:rPr>
  </w:style>
  <w:style w:type="character" w:customStyle="1" w:styleId="20">
    <w:name w:val="Заголовок 2 Знак"/>
    <w:link w:val="2"/>
    <w:rsid w:val="00A75D79"/>
    <w:rPr>
      <w:rFonts w:eastAsia="Calibri"/>
      <w:b/>
      <w:bCs/>
      <w:sz w:val="24"/>
      <w:szCs w:val="24"/>
    </w:rPr>
  </w:style>
  <w:style w:type="character" w:customStyle="1" w:styleId="30">
    <w:name w:val="Заголовок 3 Знак"/>
    <w:link w:val="3"/>
    <w:rsid w:val="00A75D79"/>
    <w:rPr>
      <w:rFonts w:eastAsia="Calibri"/>
      <w:i/>
      <w:iCs/>
      <w:sz w:val="24"/>
      <w:szCs w:val="24"/>
    </w:rPr>
  </w:style>
  <w:style w:type="paragraph" w:customStyle="1" w:styleId="ad">
    <w:name w:val="ДинТекстОбыч"/>
    <w:basedOn w:val="a0"/>
    <w:rsid w:val="00FA715B"/>
    <w:pPr>
      <w:widowControl w:val="0"/>
      <w:spacing w:after="0" w:line="240" w:lineRule="auto"/>
      <w:ind w:firstLine="567"/>
      <w:jc w:val="both"/>
    </w:pPr>
    <w:rPr>
      <w:rFonts w:ascii="Times New Roman" w:eastAsia="Times New Roman" w:hAnsi="Times New Roman"/>
      <w:color w:val="000000"/>
      <w:szCs w:val="20"/>
      <w:lang w:eastAsia="ru-RU"/>
    </w:rPr>
  </w:style>
  <w:style w:type="paragraph" w:customStyle="1" w:styleId="a">
    <w:name w:val="ДинРазделОбыч"/>
    <w:basedOn w:val="ad"/>
    <w:autoRedefine/>
    <w:rsid w:val="002F5779"/>
    <w:pPr>
      <w:numPr>
        <w:numId w:val="12"/>
      </w:numPr>
      <w:ind w:left="720"/>
      <w:jc w:val="center"/>
    </w:pPr>
    <w:rPr>
      <w:b/>
      <w:sz w:val="24"/>
      <w:szCs w:val="24"/>
    </w:rPr>
  </w:style>
  <w:style w:type="paragraph" w:styleId="ae">
    <w:name w:val="No Spacing"/>
    <w:uiPriority w:val="1"/>
    <w:qFormat/>
    <w:rsid w:val="00C374C1"/>
    <w:rPr>
      <w:rFonts w:ascii="Calibri" w:eastAsia="Calibri" w:hAnsi="Calibri"/>
      <w:sz w:val="22"/>
      <w:szCs w:val="22"/>
      <w:lang w:eastAsia="en-US"/>
    </w:rPr>
  </w:style>
  <w:style w:type="character" w:customStyle="1" w:styleId="af">
    <w:name w:val="Основной текст_"/>
    <w:link w:val="11"/>
    <w:rsid w:val="00F138A7"/>
    <w:rPr>
      <w:sz w:val="22"/>
      <w:szCs w:val="22"/>
      <w:shd w:val="clear" w:color="auto" w:fill="FFFFFF"/>
    </w:rPr>
  </w:style>
  <w:style w:type="paragraph" w:customStyle="1" w:styleId="11">
    <w:name w:val="Основной текст1"/>
    <w:basedOn w:val="a0"/>
    <w:link w:val="af"/>
    <w:rsid w:val="00F138A7"/>
    <w:pPr>
      <w:widowControl w:val="0"/>
      <w:shd w:val="clear" w:color="auto" w:fill="FFFFFF"/>
      <w:spacing w:before="540" w:after="180" w:line="278" w:lineRule="exact"/>
      <w:ind w:hanging="340"/>
    </w:pPr>
    <w:rPr>
      <w:rFonts w:ascii="Times New Roman" w:eastAsia="Times New Roman" w:hAnsi="Times New Roman"/>
    </w:rPr>
  </w:style>
  <w:style w:type="paragraph" w:styleId="af0">
    <w:name w:val="Balloon Text"/>
    <w:basedOn w:val="a0"/>
    <w:link w:val="af1"/>
    <w:rsid w:val="00A212DF"/>
    <w:pPr>
      <w:spacing w:after="0" w:line="240" w:lineRule="auto"/>
    </w:pPr>
    <w:rPr>
      <w:rFonts w:ascii="Tahoma" w:hAnsi="Tahoma"/>
      <w:sz w:val="16"/>
      <w:szCs w:val="16"/>
    </w:rPr>
  </w:style>
  <w:style w:type="character" w:customStyle="1" w:styleId="af1">
    <w:name w:val="Текст выноски Знак"/>
    <w:link w:val="af0"/>
    <w:rsid w:val="00A212DF"/>
    <w:rPr>
      <w:rFonts w:ascii="Tahoma" w:eastAsia="Calibri" w:hAnsi="Tahoma" w:cs="Tahoma"/>
      <w:sz w:val="16"/>
      <w:szCs w:val="16"/>
      <w:lang w:val="uk-UA" w:eastAsia="en-US"/>
    </w:rPr>
  </w:style>
  <w:style w:type="paragraph" w:customStyle="1" w:styleId="4">
    <w:name w:val="Основной текст4"/>
    <w:basedOn w:val="a0"/>
    <w:rsid w:val="009450A0"/>
    <w:pPr>
      <w:widowControl w:val="0"/>
      <w:shd w:val="clear" w:color="auto" w:fill="FFFFFF"/>
      <w:spacing w:after="0" w:line="701" w:lineRule="exact"/>
      <w:ind w:hanging="560"/>
    </w:pPr>
    <w:rPr>
      <w:b/>
      <w:bCs/>
      <w:sz w:val="19"/>
      <w:szCs w:val="19"/>
    </w:rPr>
  </w:style>
  <w:style w:type="character" w:customStyle="1" w:styleId="12">
    <w:name w:val="Основной текст + Курсив1"/>
    <w:rsid w:val="009450A0"/>
    <w:rPr>
      <w:rFonts w:ascii="Times New Roman" w:hAnsi="Times New Roman" w:cs="Times New Roman"/>
      <w:b w:val="0"/>
      <w:bCs w:val="0"/>
      <w:i/>
      <w:iCs/>
      <w:color w:val="000000"/>
      <w:spacing w:val="0"/>
      <w:w w:val="100"/>
      <w:position w:val="0"/>
      <w:sz w:val="19"/>
      <w:szCs w:val="19"/>
      <w:u w:val="none"/>
      <w:lang w:val="ru-RU" w:bidi="ar-SA"/>
    </w:rPr>
  </w:style>
  <w:style w:type="paragraph" w:customStyle="1" w:styleId="Preambule0">
    <w:name w:val="Preambule0"/>
    <w:basedOn w:val="a0"/>
    <w:rsid w:val="009450A0"/>
    <w:pPr>
      <w:spacing w:before="120" w:after="0" w:line="240" w:lineRule="auto"/>
      <w:ind w:firstLine="720"/>
      <w:jc w:val="both"/>
    </w:pPr>
    <w:rPr>
      <w:rFonts w:ascii="Futuris" w:eastAsia="Times New Roman" w:hAnsi="Futuris"/>
      <w:sz w:val="24"/>
      <w:szCs w:val="24"/>
      <w:lang w:eastAsia="ru-RU"/>
    </w:rPr>
  </w:style>
  <w:style w:type="paragraph" w:customStyle="1" w:styleId="210">
    <w:name w:val="Основной текст с отступом 21"/>
    <w:basedOn w:val="a0"/>
    <w:rsid w:val="00637BA4"/>
    <w:pPr>
      <w:spacing w:after="0" w:line="240" w:lineRule="auto"/>
      <w:ind w:firstLine="720"/>
      <w:jc w:val="both"/>
    </w:pPr>
    <w:rPr>
      <w:rFonts w:ascii="Times New Roman CYR" w:eastAsia="Times New Roman" w:hAnsi="Times New Roman CYR"/>
      <w:b/>
      <w:sz w:val="24"/>
      <w:szCs w:val="20"/>
      <w:lang w:eastAsia="ru-RU"/>
    </w:rPr>
  </w:style>
  <w:style w:type="character" w:customStyle="1" w:styleId="ABC-paragrahinNotesChar">
    <w:name w:val="ABC - paragrah in Notes Char"/>
    <w:link w:val="ABC-paragrahinNotes"/>
    <w:uiPriority w:val="99"/>
    <w:locked/>
    <w:rsid w:val="00255AA5"/>
    <w:rPr>
      <w:rFonts w:ascii="Arial" w:hAnsi="Arial"/>
      <w:lang w:val="en-GB" w:eastAsia="uk-UA" w:bidi="ar-SA"/>
    </w:rPr>
  </w:style>
  <w:style w:type="character" w:customStyle="1" w:styleId="hps">
    <w:name w:val="hps"/>
    <w:basedOn w:val="a3"/>
    <w:rsid w:val="00255AA5"/>
  </w:style>
  <w:style w:type="character" w:customStyle="1" w:styleId="rvts44">
    <w:name w:val="rvts44"/>
    <w:basedOn w:val="a3"/>
    <w:rsid w:val="00DB32C2"/>
  </w:style>
  <w:style w:type="character" w:customStyle="1" w:styleId="rvts9">
    <w:name w:val="rvts9"/>
    <w:basedOn w:val="a3"/>
    <w:rsid w:val="00DB32C2"/>
  </w:style>
  <w:style w:type="character" w:customStyle="1" w:styleId="rvts15">
    <w:name w:val="rvts15"/>
    <w:basedOn w:val="a3"/>
    <w:rsid w:val="00BA554C"/>
  </w:style>
  <w:style w:type="character" w:styleId="af2">
    <w:name w:val="Hyperlink"/>
    <w:rsid w:val="008F151E"/>
    <w:rPr>
      <w:color w:val="0000FF"/>
      <w:u w:val="single"/>
    </w:rPr>
  </w:style>
  <w:style w:type="character" w:customStyle="1" w:styleId="apple-converted-space">
    <w:name w:val="apple-converted-space"/>
    <w:basedOn w:val="a3"/>
    <w:rsid w:val="00936891"/>
  </w:style>
  <w:style w:type="paragraph" w:styleId="af3">
    <w:name w:val="footer"/>
    <w:basedOn w:val="a0"/>
    <w:rsid w:val="00C65543"/>
    <w:pPr>
      <w:tabs>
        <w:tab w:val="center" w:pos="4677"/>
        <w:tab w:val="right" w:pos="9355"/>
      </w:tabs>
    </w:pPr>
  </w:style>
  <w:style w:type="character" w:styleId="af4">
    <w:name w:val="page number"/>
    <w:basedOn w:val="a3"/>
    <w:rsid w:val="00C65543"/>
  </w:style>
  <w:style w:type="character" w:customStyle="1" w:styleId="31">
    <w:name w:val="Основний текст (3)_"/>
    <w:link w:val="32"/>
    <w:rsid w:val="00737ABD"/>
    <w:rPr>
      <w:rFonts w:ascii="Book Antiqua" w:eastAsia="Book Antiqua" w:hAnsi="Book Antiqua" w:cs="Book Antiqua"/>
      <w:sz w:val="22"/>
      <w:szCs w:val="22"/>
      <w:shd w:val="clear" w:color="auto" w:fill="FFFFFF"/>
    </w:rPr>
  </w:style>
  <w:style w:type="character" w:customStyle="1" w:styleId="af5">
    <w:name w:val="Основний текст + Напівжирний"/>
    <w:rsid w:val="00737ABD"/>
    <w:rPr>
      <w:rFonts w:ascii="Book Antiqua" w:eastAsia="Book Antiqua" w:hAnsi="Book Antiqua" w:cs="Book Antiqua"/>
      <w:b/>
      <w:bCs/>
      <w:i w:val="0"/>
      <w:iCs w:val="0"/>
      <w:smallCaps w:val="0"/>
      <w:strike w:val="0"/>
      <w:spacing w:val="0"/>
      <w:sz w:val="22"/>
      <w:szCs w:val="22"/>
    </w:rPr>
  </w:style>
  <w:style w:type="character" w:customStyle="1" w:styleId="5">
    <w:name w:val="Основний текст (5)_"/>
    <w:link w:val="50"/>
    <w:rsid w:val="00737ABD"/>
    <w:rPr>
      <w:rFonts w:ascii="Book Antiqua" w:eastAsia="Book Antiqua" w:hAnsi="Book Antiqua" w:cs="Book Antiqua"/>
      <w:sz w:val="21"/>
      <w:szCs w:val="21"/>
      <w:shd w:val="clear" w:color="auto" w:fill="FFFFFF"/>
    </w:rPr>
  </w:style>
  <w:style w:type="character" w:customStyle="1" w:styleId="511pt">
    <w:name w:val="Основний текст (5) + 11 pt;Не напівжирний"/>
    <w:rsid w:val="00737ABD"/>
    <w:rPr>
      <w:rFonts w:ascii="Book Antiqua" w:eastAsia="Book Antiqua" w:hAnsi="Book Antiqua" w:cs="Book Antiqua"/>
      <w:b/>
      <w:bCs/>
      <w:i w:val="0"/>
      <w:iCs w:val="0"/>
      <w:smallCaps w:val="0"/>
      <w:strike w:val="0"/>
      <w:spacing w:val="0"/>
      <w:sz w:val="22"/>
      <w:szCs w:val="22"/>
    </w:rPr>
  </w:style>
  <w:style w:type="paragraph" w:customStyle="1" w:styleId="32">
    <w:name w:val="Основний текст (3)"/>
    <w:basedOn w:val="a0"/>
    <w:link w:val="31"/>
    <w:rsid w:val="00737ABD"/>
    <w:pPr>
      <w:shd w:val="clear" w:color="auto" w:fill="FFFFFF"/>
      <w:spacing w:after="0" w:line="283" w:lineRule="exact"/>
      <w:ind w:firstLine="520"/>
      <w:jc w:val="both"/>
    </w:pPr>
    <w:rPr>
      <w:rFonts w:ascii="Book Antiqua" w:eastAsia="Book Antiqua" w:hAnsi="Book Antiqua"/>
    </w:rPr>
  </w:style>
  <w:style w:type="paragraph" w:customStyle="1" w:styleId="50">
    <w:name w:val="Основний текст (5)"/>
    <w:basedOn w:val="a0"/>
    <w:link w:val="5"/>
    <w:rsid w:val="00737ABD"/>
    <w:pPr>
      <w:shd w:val="clear" w:color="auto" w:fill="FFFFFF"/>
      <w:spacing w:after="0" w:line="283" w:lineRule="exact"/>
      <w:ind w:firstLine="540"/>
      <w:jc w:val="both"/>
    </w:pPr>
    <w:rPr>
      <w:rFonts w:ascii="Book Antiqua" w:eastAsia="Book Antiqua" w:hAnsi="Book Antiqua"/>
      <w:sz w:val="21"/>
      <w:szCs w:val="21"/>
    </w:rPr>
  </w:style>
  <w:style w:type="character" w:styleId="af6">
    <w:name w:val="Placeholder Text"/>
    <w:basedOn w:val="a3"/>
    <w:uiPriority w:val="99"/>
    <w:semiHidden/>
    <w:rsid w:val="00011634"/>
    <w:rPr>
      <w:color w:val="808080"/>
    </w:rPr>
  </w:style>
  <w:style w:type="paragraph" w:styleId="af7">
    <w:name w:val="List Paragraph"/>
    <w:basedOn w:val="a0"/>
    <w:uiPriority w:val="34"/>
    <w:qFormat/>
    <w:rsid w:val="00840D3D"/>
    <w:pPr>
      <w:spacing w:after="0" w:line="240" w:lineRule="auto"/>
      <w:ind w:left="720"/>
      <w:contextualSpacing/>
    </w:pPr>
    <w:rPr>
      <w:rFonts w:ascii="Arial Unicode MS" w:eastAsia="Arial Unicode MS" w:hAnsi="Arial Unicode MS" w:cs="Arial Unicode MS"/>
      <w:color w:val="000000"/>
      <w:sz w:val="24"/>
      <w:szCs w:val="24"/>
      <w:lang w:val="ru-RU" w:eastAsia="uk-UA"/>
    </w:rPr>
  </w:style>
  <w:style w:type="character" w:customStyle="1" w:styleId="8">
    <w:name w:val="Основний текст (8)_"/>
    <w:link w:val="81"/>
    <w:locked/>
    <w:rsid w:val="009C0991"/>
    <w:rPr>
      <w:i/>
      <w:iCs/>
      <w:sz w:val="22"/>
      <w:szCs w:val="22"/>
      <w:shd w:val="clear" w:color="auto" w:fill="FFFFFF"/>
    </w:rPr>
  </w:style>
  <w:style w:type="paragraph" w:customStyle="1" w:styleId="81">
    <w:name w:val="Основний текст (8)1"/>
    <w:basedOn w:val="a0"/>
    <w:link w:val="8"/>
    <w:rsid w:val="009C0991"/>
    <w:pPr>
      <w:shd w:val="clear" w:color="auto" w:fill="FFFFFF"/>
      <w:spacing w:after="480" w:line="240" w:lineRule="atLeast"/>
    </w:pPr>
    <w:rPr>
      <w:rFonts w:ascii="Times New Roman" w:eastAsia="Times New Roman" w:hAnsi="Times New Roman"/>
      <w:i/>
      <w:iCs/>
    </w:rPr>
  </w:style>
  <w:style w:type="character" w:customStyle="1" w:styleId="80">
    <w:name w:val="Основний текст (8)"/>
    <w:basedOn w:val="8"/>
    <w:rsid w:val="009C0991"/>
  </w:style>
  <w:style w:type="character" w:customStyle="1" w:styleId="ab">
    <w:name w:val="Название Знак"/>
    <w:basedOn w:val="a3"/>
    <w:link w:val="a1"/>
    <w:rsid w:val="00806D35"/>
    <w:rPr>
      <w:rFonts w:eastAsia="Calibri"/>
      <w:b/>
      <w:bCs/>
      <w:sz w:val="24"/>
      <w:szCs w:val="24"/>
    </w:rPr>
  </w:style>
  <w:style w:type="paragraph" w:styleId="33">
    <w:name w:val="Body Text Indent 3"/>
    <w:basedOn w:val="a0"/>
    <w:link w:val="34"/>
    <w:unhideWhenUsed/>
    <w:rsid w:val="00A01440"/>
    <w:pPr>
      <w:spacing w:after="120" w:line="240" w:lineRule="auto"/>
      <w:ind w:left="283"/>
    </w:pPr>
    <w:rPr>
      <w:rFonts w:ascii="Times New Roman" w:eastAsia="Times New Roman" w:hAnsi="Times New Roman"/>
      <w:sz w:val="16"/>
      <w:szCs w:val="16"/>
    </w:rPr>
  </w:style>
  <w:style w:type="character" w:customStyle="1" w:styleId="34">
    <w:name w:val="Основной текст с отступом 3 Знак"/>
    <w:basedOn w:val="a3"/>
    <w:link w:val="33"/>
    <w:rsid w:val="00A01440"/>
    <w:rPr>
      <w:sz w:val="16"/>
      <w:szCs w:val="16"/>
      <w:lang w:val="uk-UA"/>
    </w:rPr>
  </w:style>
  <w:style w:type="character" w:customStyle="1" w:styleId="a8">
    <w:name w:val="Обычный (веб) Знак"/>
    <w:link w:val="a7"/>
    <w:locked/>
    <w:rsid w:val="00A01440"/>
    <w:rPr>
      <w:sz w:val="24"/>
      <w:szCs w:val="24"/>
      <w:lang w:val="uk-UA"/>
    </w:rPr>
  </w:style>
  <w:style w:type="character" w:customStyle="1" w:styleId="Bodytext">
    <w:name w:val="Body text_"/>
    <w:basedOn w:val="a3"/>
    <w:locked/>
    <w:rsid w:val="00A01440"/>
    <w:rPr>
      <w:rFonts w:ascii="Calibri" w:hAnsi="Calibri" w:cs="Calibri"/>
      <w:spacing w:val="3"/>
      <w:sz w:val="17"/>
      <w:szCs w:val="17"/>
      <w:shd w:val="clear" w:color="auto" w:fill="FFFFFF"/>
    </w:rPr>
  </w:style>
  <w:style w:type="character" w:customStyle="1" w:styleId="Bodytext10">
    <w:name w:val="Body text (10)_"/>
    <w:basedOn w:val="a3"/>
    <w:link w:val="Bodytext100"/>
    <w:locked/>
    <w:rsid w:val="00A01440"/>
    <w:rPr>
      <w:rFonts w:ascii="Calibri" w:hAnsi="Calibri" w:cs="Calibri"/>
      <w:spacing w:val="1"/>
      <w:sz w:val="17"/>
      <w:szCs w:val="17"/>
      <w:shd w:val="clear" w:color="auto" w:fill="FFFFFF"/>
    </w:rPr>
  </w:style>
  <w:style w:type="paragraph" w:customStyle="1" w:styleId="Bodytext100">
    <w:name w:val="Body text (10)"/>
    <w:basedOn w:val="a0"/>
    <w:link w:val="Bodytext10"/>
    <w:rsid w:val="00A01440"/>
    <w:pPr>
      <w:shd w:val="clear" w:color="auto" w:fill="FFFFFF"/>
      <w:spacing w:before="180" w:after="180" w:line="0" w:lineRule="atLeast"/>
    </w:pPr>
    <w:rPr>
      <w:rFonts w:eastAsia="Times New Roman" w:cs="Calibri"/>
      <w:spacing w:val="1"/>
      <w:sz w:val="17"/>
      <w:szCs w:val="17"/>
      <w:lang w:val="ru-RU" w:eastAsia="ru-RU"/>
    </w:rPr>
  </w:style>
  <w:style w:type="character" w:customStyle="1" w:styleId="Heading12">
    <w:name w:val="Heading #1 (2)_"/>
    <w:basedOn w:val="a3"/>
    <w:link w:val="Heading120"/>
    <w:locked/>
    <w:rsid w:val="009C6E75"/>
    <w:rPr>
      <w:rFonts w:ascii="Calibri" w:hAnsi="Calibri" w:cs="Calibri"/>
      <w:spacing w:val="3"/>
      <w:sz w:val="17"/>
      <w:szCs w:val="17"/>
      <w:shd w:val="clear" w:color="auto" w:fill="FFFFFF"/>
    </w:rPr>
  </w:style>
  <w:style w:type="paragraph" w:customStyle="1" w:styleId="Heading120">
    <w:name w:val="Heading #1 (2)"/>
    <w:basedOn w:val="a0"/>
    <w:link w:val="Heading12"/>
    <w:rsid w:val="009C6E75"/>
    <w:pPr>
      <w:shd w:val="clear" w:color="auto" w:fill="FFFFFF"/>
      <w:spacing w:before="420" w:after="180" w:line="0" w:lineRule="atLeast"/>
      <w:outlineLvl w:val="0"/>
    </w:pPr>
    <w:rPr>
      <w:rFonts w:eastAsia="Times New Roman" w:cs="Calibri"/>
      <w:spacing w:val="3"/>
      <w:sz w:val="17"/>
      <w:szCs w:val="17"/>
      <w:lang w:val="ru-RU" w:eastAsia="ru-RU"/>
    </w:rPr>
  </w:style>
  <w:style w:type="character" w:styleId="af8">
    <w:name w:val="annotation reference"/>
    <w:basedOn w:val="a3"/>
    <w:rsid w:val="002E184F"/>
    <w:rPr>
      <w:sz w:val="16"/>
      <w:szCs w:val="16"/>
    </w:rPr>
  </w:style>
  <w:style w:type="paragraph" w:styleId="af9">
    <w:name w:val="annotation text"/>
    <w:basedOn w:val="a0"/>
    <w:link w:val="afa"/>
    <w:rsid w:val="002E184F"/>
    <w:rPr>
      <w:sz w:val="20"/>
      <w:szCs w:val="20"/>
    </w:rPr>
  </w:style>
  <w:style w:type="character" w:customStyle="1" w:styleId="afa">
    <w:name w:val="Текст примечания Знак"/>
    <w:basedOn w:val="a3"/>
    <w:link w:val="af9"/>
    <w:rsid w:val="002E184F"/>
    <w:rPr>
      <w:rFonts w:ascii="Calibri" w:eastAsia="Calibri" w:hAnsi="Calibri"/>
      <w:lang w:eastAsia="en-US"/>
    </w:rPr>
  </w:style>
  <w:style w:type="paragraph" w:styleId="afb">
    <w:name w:val="annotation subject"/>
    <w:basedOn w:val="af9"/>
    <w:next w:val="af9"/>
    <w:link w:val="afc"/>
    <w:rsid w:val="002E184F"/>
    <w:rPr>
      <w:b/>
      <w:bCs/>
    </w:rPr>
  </w:style>
  <w:style w:type="character" w:customStyle="1" w:styleId="afc">
    <w:name w:val="Тема примечания Знак"/>
    <w:basedOn w:val="afa"/>
    <w:link w:val="afb"/>
    <w:rsid w:val="002E184F"/>
    <w:rPr>
      <w:b/>
      <w:bCs/>
    </w:rPr>
  </w:style>
</w:styles>
</file>

<file path=word/webSettings.xml><?xml version="1.0" encoding="utf-8"?>
<w:webSettings xmlns:r="http://schemas.openxmlformats.org/officeDocument/2006/relationships" xmlns:w="http://schemas.openxmlformats.org/wordprocessingml/2006/main">
  <w:divs>
    <w:div w:id="50932069">
      <w:bodyDiv w:val="1"/>
      <w:marLeft w:val="0"/>
      <w:marRight w:val="0"/>
      <w:marTop w:val="0"/>
      <w:marBottom w:val="0"/>
      <w:divBdr>
        <w:top w:val="none" w:sz="0" w:space="0" w:color="auto"/>
        <w:left w:val="none" w:sz="0" w:space="0" w:color="auto"/>
        <w:bottom w:val="none" w:sz="0" w:space="0" w:color="auto"/>
        <w:right w:val="none" w:sz="0" w:space="0" w:color="auto"/>
      </w:divBdr>
      <w:divsChild>
        <w:div w:id="82455121">
          <w:marLeft w:val="0"/>
          <w:marRight w:val="0"/>
          <w:marTop w:val="100"/>
          <w:marBottom w:val="100"/>
          <w:divBdr>
            <w:top w:val="none" w:sz="0" w:space="0" w:color="auto"/>
            <w:left w:val="none" w:sz="0" w:space="0" w:color="auto"/>
            <w:bottom w:val="none" w:sz="0" w:space="0" w:color="auto"/>
            <w:right w:val="none" w:sz="0" w:space="0" w:color="auto"/>
          </w:divBdr>
          <w:divsChild>
            <w:div w:id="1471168563">
              <w:marLeft w:val="0"/>
              <w:marRight w:val="0"/>
              <w:marTop w:val="0"/>
              <w:marBottom w:val="0"/>
              <w:divBdr>
                <w:top w:val="single" w:sz="6" w:space="4" w:color="DCDCDC"/>
                <w:left w:val="single" w:sz="6" w:space="4" w:color="DCDCDC"/>
                <w:bottom w:val="single" w:sz="6" w:space="0" w:color="DCDCDC"/>
                <w:right w:val="single" w:sz="6" w:space="4" w:color="DCDCDC"/>
              </w:divBdr>
              <w:divsChild>
                <w:div w:id="343287686">
                  <w:marLeft w:val="0"/>
                  <w:marRight w:val="0"/>
                  <w:marTop w:val="0"/>
                  <w:marBottom w:val="0"/>
                  <w:divBdr>
                    <w:top w:val="none" w:sz="0" w:space="0" w:color="auto"/>
                    <w:left w:val="none" w:sz="0" w:space="0" w:color="auto"/>
                    <w:bottom w:val="none" w:sz="0" w:space="0" w:color="auto"/>
                    <w:right w:val="none" w:sz="0" w:space="0" w:color="auto"/>
                  </w:divBdr>
                  <w:divsChild>
                    <w:div w:id="447552334">
                      <w:marLeft w:val="0"/>
                      <w:marRight w:val="0"/>
                      <w:marTop w:val="0"/>
                      <w:marBottom w:val="0"/>
                      <w:divBdr>
                        <w:top w:val="none" w:sz="0" w:space="0" w:color="auto"/>
                        <w:left w:val="none" w:sz="0" w:space="0" w:color="auto"/>
                        <w:bottom w:val="none" w:sz="0" w:space="0" w:color="auto"/>
                        <w:right w:val="none" w:sz="0" w:space="0" w:color="auto"/>
                      </w:divBdr>
                      <w:divsChild>
                        <w:div w:id="14328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3916">
      <w:bodyDiv w:val="1"/>
      <w:marLeft w:val="0"/>
      <w:marRight w:val="0"/>
      <w:marTop w:val="0"/>
      <w:marBottom w:val="0"/>
      <w:divBdr>
        <w:top w:val="none" w:sz="0" w:space="0" w:color="auto"/>
        <w:left w:val="none" w:sz="0" w:space="0" w:color="auto"/>
        <w:bottom w:val="none" w:sz="0" w:space="0" w:color="auto"/>
        <w:right w:val="none" w:sz="0" w:space="0" w:color="auto"/>
      </w:divBdr>
      <w:divsChild>
        <w:div w:id="124392189">
          <w:marLeft w:val="0"/>
          <w:marRight w:val="0"/>
          <w:marTop w:val="0"/>
          <w:marBottom w:val="0"/>
          <w:divBdr>
            <w:top w:val="none" w:sz="0" w:space="0" w:color="auto"/>
            <w:left w:val="none" w:sz="0" w:space="0" w:color="auto"/>
            <w:bottom w:val="none" w:sz="0" w:space="0" w:color="auto"/>
            <w:right w:val="none" w:sz="0" w:space="0" w:color="auto"/>
          </w:divBdr>
        </w:div>
        <w:div w:id="184901732">
          <w:marLeft w:val="0"/>
          <w:marRight w:val="0"/>
          <w:marTop w:val="0"/>
          <w:marBottom w:val="0"/>
          <w:divBdr>
            <w:top w:val="none" w:sz="0" w:space="0" w:color="auto"/>
            <w:left w:val="none" w:sz="0" w:space="0" w:color="auto"/>
            <w:bottom w:val="none" w:sz="0" w:space="0" w:color="auto"/>
            <w:right w:val="none" w:sz="0" w:space="0" w:color="auto"/>
          </w:divBdr>
        </w:div>
        <w:div w:id="210579860">
          <w:marLeft w:val="0"/>
          <w:marRight w:val="0"/>
          <w:marTop w:val="0"/>
          <w:marBottom w:val="0"/>
          <w:divBdr>
            <w:top w:val="none" w:sz="0" w:space="0" w:color="auto"/>
            <w:left w:val="none" w:sz="0" w:space="0" w:color="auto"/>
            <w:bottom w:val="none" w:sz="0" w:space="0" w:color="auto"/>
            <w:right w:val="none" w:sz="0" w:space="0" w:color="auto"/>
          </w:divBdr>
        </w:div>
        <w:div w:id="309332742">
          <w:marLeft w:val="0"/>
          <w:marRight w:val="0"/>
          <w:marTop w:val="0"/>
          <w:marBottom w:val="0"/>
          <w:divBdr>
            <w:top w:val="none" w:sz="0" w:space="0" w:color="auto"/>
            <w:left w:val="none" w:sz="0" w:space="0" w:color="auto"/>
            <w:bottom w:val="none" w:sz="0" w:space="0" w:color="auto"/>
            <w:right w:val="none" w:sz="0" w:space="0" w:color="auto"/>
          </w:divBdr>
        </w:div>
        <w:div w:id="374089111">
          <w:marLeft w:val="0"/>
          <w:marRight w:val="0"/>
          <w:marTop w:val="0"/>
          <w:marBottom w:val="0"/>
          <w:divBdr>
            <w:top w:val="none" w:sz="0" w:space="0" w:color="auto"/>
            <w:left w:val="none" w:sz="0" w:space="0" w:color="auto"/>
            <w:bottom w:val="none" w:sz="0" w:space="0" w:color="auto"/>
            <w:right w:val="none" w:sz="0" w:space="0" w:color="auto"/>
          </w:divBdr>
        </w:div>
        <w:div w:id="558983777">
          <w:marLeft w:val="0"/>
          <w:marRight w:val="0"/>
          <w:marTop w:val="0"/>
          <w:marBottom w:val="0"/>
          <w:divBdr>
            <w:top w:val="none" w:sz="0" w:space="0" w:color="auto"/>
            <w:left w:val="none" w:sz="0" w:space="0" w:color="auto"/>
            <w:bottom w:val="none" w:sz="0" w:space="0" w:color="auto"/>
            <w:right w:val="none" w:sz="0" w:space="0" w:color="auto"/>
          </w:divBdr>
        </w:div>
        <w:div w:id="728768935">
          <w:marLeft w:val="0"/>
          <w:marRight w:val="0"/>
          <w:marTop w:val="0"/>
          <w:marBottom w:val="0"/>
          <w:divBdr>
            <w:top w:val="none" w:sz="0" w:space="0" w:color="auto"/>
            <w:left w:val="none" w:sz="0" w:space="0" w:color="auto"/>
            <w:bottom w:val="none" w:sz="0" w:space="0" w:color="auto"/>
            <w:right w:val="none" w:sz="0" w:space="0" w:color="auto"/>
          </w:divBdr>
        </w:div>
        <w:div w:id="843982323">
          <w:marLeft w:val="0"/>
          <w:marRight w:val="0"/>
          <w:marTop w:val="0"/>
          <w:marBottom w:val="0"/>
          <w:divBdr>
            <w:top w:val="none" w:sz="0" w:space="0" w:color="auto"/>
            <w:left w:val="none" w:sz="0" w:space="0" w:color="auto"/>
            <w:bottom w:val="none" w:sz="0" w:space="0" w:color="auto"/>
            <w:right w:val="none" w:sz="0" w:space="0" w:color="auto"/>
          </w:divBdr>
        </w:div>
        <w:div w:id="914241266">
          <w:marLeft w:val="0"/>
          <w:marRight w:val="0"/>
          <w:marTop w:val="0"/>
          <w:marBottom w:val="0"/>
          <w:divBdr>
            <w:top w:val="none" w:sz="0" w:space="0" w:color="auto"/>
            <w:left w:val="none" w:sz="0" w:space="0" w:color="auto"/>
            <w:bottom w:val="none" w:sz="0" w:space="0" w:color="auto"/>
            <w:right w:val="none" w:sz="0" w:space="0" w:color="auto"/>
          </w:divBdr>
        </w:div>
        <w:div w:id="985744020">
          <w:marLeft w:val="0"/>
          <w:marRight w:val="0"/>
          <w:marTop w:val="0"/>
          <w:marBottom w:val="0"/>
          <w:divBdr>
            <w:top w:val="none" w:sz="0" w:space="0" w:color="auto"/>
            <w:left w:val="none" w:sz="0" w:space="0" w:color="auto"/>
            <w:bottom w:val="none" w:sz="0" w:space="0" w:color="auto"/>
            <w:right w:val="none" w:sz="0" w:space="0" w:color="auto"/>
          </w:divBdr>
        </w:div>
        <w:div w:id="1160000670">
          <w:marLeft w:val="0"/>
          <w:marRight w:val="0"/>
          <w:marTop w:val="0"/>
          <w:marBottom w:val="0"/>
          <w:divBdr>
            <w:top w:val="none" w:sz="0" w:space="0" w:color="auto"/>
            <w:left w:val="none" w:sz="0" w:space="0" w:color="auto"/>
            <w:bottom w:val="none" w:sz="0" w:space="0" w:color="auto"/>
            <w:right w:val="none" w:sz="0" w:space="0" w:color="auto"/>
          </w:divBdr>
        </w:div>
        <w:div w:id="1210730406">
          <w:marLeft w:val="0"/>
          <w:marRight w:val="0"/>
          <w:marTop w:val="0"/>
          <w:marBottom w:val="0"/>
          <w:divBdr>
            <w:top w:val="none" w:sz="0" w:space="0" w:color="auto"/>
            <w:left w:val="none" w:sz="0" w:space="0" w:color="auto"/>
            <w:bottom w:val="none" w:sz="0" w:space="0" w:color="auto"/>
            <w:right w:val="none" w:sz="0" w:space="0" w:color="auto"/>
          </w:divBdr>
        </w:div>
        <w:div w:id="1434858503">
          <w:marLeft w:val="0"/>
          <w:marRight w:val="0"/>
          <w:marTop w:val="0"/>
          <w:marBottom w:val="0"/>
          <w:divBdr>
            <w:top w:val="none" w:sz="0" w:space="0" w:color="auto"/>
            <w:left w:val="none" w:sz="0" w:space="0" w:color="auto"/>
            <w:bottom w:val="none" w:sz="0" w:space="0" w:color="auto"/>
            <w:right w:val="none" w:sz="0" w:space="0" w:color="auto"/>
          </w:divBdr>
        </w:div>
        <w:div w:id="1487361917">
          <w:marLeft w:val="0"/>
          <w:marRight w:val="0"/>
          <w:marTop w:val="0"/>
          <w:marBottom w:val="0"/>
          <w:divBdr>
            <w:top w:val="none" w:sz="0" w:space="0" w:color="auto"/>
            <w:left w:val="none" w:sz="0" w:space="0" w:color="auto"/>
            <w:bottom w:val="none" w:sz="0" w:space="0" w:color="auto"/>
            <w:right w:val="none" w:sz="0" w:space="0" w:color="auto"/>
          </w:divBdr>
        </w:div>
        <w:div w:id="1868130387">
          <w:marLeft w:val="0"/>
          <w:marRight w:val="0"/>
          <w:marTop w:val="0"/>
          <w:marBottom w:val="0"/>
          <w:divBdr>
            <w:top w:val="none" w:sz="0" w:space="0" w:color="auto"/>
            <w:left w:val="none" w:sz="0" w:space="0" w:color="auto"/>
            <w:bottom w:val="none" w:sz="0" w:space="0" w:color="auto"/>
            <w:right w:val="none" w:sz="0" w:space="0" w:color="auto"/>
          </w:divBdr>
        </w:div>
        <w:div w:id="1948803616">
          <w:marLeft w:val="0"/>
          <w:marRight w:val="0"/>
          <w:marTop w:val="0"/>
          <w:marBottom w:val="0"/>
          <w:divBdr>
            <w:top w:val="none" w:sz="0" w:space="0" w:color="auto"/>
            <w:left w:val="none" w:sz="0" w:space="0" w:color="auto"/>
            <w:bottom w:val="none" w:sz="0" w:space="0" w:color="auto"/>
            <w:right w:val="none" w:sz="0" w:space="0" w:color="auto"/>
          </w:divBdr>
        </w:div>
        <w:div w:id="1978483929">
          <w:marLeft w:val="0"/>
          <w:marRight w:val="0"/>
          <w:marTop w:val="0"/>
          <w:marBottom w:val="0"/>
          <w:divBdr>
            <w:top w:val="none" w:sz="0" w:space="0" w:color="auto"/>
            <w:left w:val="none" w:sz="0" w:space="0" w:color="auto"/>
            <w:bottom w:val="none" w:sz="0" w:space="0" w:color="auto"/>
            <w:right w:val="none" w:sz="0" w:space="0" w:color="auto"/>
          </w:divBdr>
        </w:div>
        <w:div w:id="2018462238">
          <w:marLeft w:val="0"/>
          <w:marRight w:val="0"/>
          <w:marTop w:val="0"/>
          <w:marBottom w:val="0"/>
          <w:divBdr>
            <w:top w:val="none" w:sz="0" w:space="0" w:color="auto"/>
            <w:left w:val="none" w:sz="0" w:space="0" w:color="auto"/>
            <w:bottom w:val="none" w:sz="0" w:space="0" w:color="auto"/>
            <w:right w:val="none" w:sz="0" w:space="0" w:color="auto"/>
          </w:divBdr>
        </w:div>
        <w:div w:id="2044406765">
          <w:marLeft w:val="0"/>
          <w:marRight w:val="0"/>
          <w:marTop w:val="0"/>
          <w:marBottom w:val="0"/>
          <w:divBdr>
            <w:top w:val="none" w:sz="0" w:space="0" w:color="auto"/>
            <w:left w:val="none" w:sz="0" w:space="0" w:color="auto"/>
            <w:bottom w:val="none" w:sz="0" w:space="0" w:color="auto"/>
            <w:right w:val="none" w:sz="0" w:space="0" w:color="auto"/>
          </w:divBdr>
        </w:div>
        <w:div w:id="2051105720">
          <w:marLeft w:val="0"/>
          <w:marRight w:val="0"/>
          <w:marTop w:val="0"/>
          <w:marBottom w:val="0"/>
          <w:divBdr>
            <w:top w:val="none" w:sz="0" w:space="0" w:color="auto"/>
            <w:left w:val="none" w:sz="0" w:space="0" w:color="auto"/>
            <w:bottom w:val="none" w:sz="0" w:space="0" w:color="auto"/>
            <w:right w:val="none" w:sz="0" w:space="0" w:color="auto"/>
          </w:divBdr>
        </w:div>
      </w:divsChild>
    </w:div>
    <w:div w:id="55324638">
      <w:bodyDiv w:val="1"/>
      <w:marLeft w:val="0"/>
      <w:marRight w:val="0"/>
      <w:marTop w:val="0"/>
      <w:marBottom w:val="0"/>
      <w:divBdr>
        <w:top w:val="none" w:sz="0" w:space="0" w:color="auto"/>
        <w:left w:val="none" w:sz="0" w:space="0" w:color="auto"/>
        <w:bottom w:val="none" w:sz="0" w:space="0" w:color="auto"/>
        <w:right w:val="none" w:sz="0" w:space="0" w:color="auto"/>
      </w:divBdr>
    </w:div>
    <w:div w:id="85614150">
      <w:bodyDiv w:val="1"/>
      <w:marLeft w:val="0"/>
      <w:marRight w:val="0"/>
      <w:marTop w:val="0"/>
      <w:marBottom w:val="0"/>
      <w:divBdr>
        <w:top w:val="none" w:sz="0" w:space="0" w:color="auto"/>
        <w:left w:val="none" w:sz="0" w:space="0" w:color="auto"/>
        <w:bottom w:val="none" w:sz="0" w:space="0" w:color="auto"/>
        <w:right w:val="none" w:sz="0" w:space="0" w:color="auto"/>
      </w:divBdr>
    </w:div>
    <w:div w:id="110175433">
      <w:bodyDiv w:val="1"/>
      <w:marLeft w:val="0"/>
      <w:marRight w:val="0"/>
      <w:marTop w:val="0"/>
      <w:marBottom w:val="0"/>
      <w:divBdr>
        <w:top w:val="none" w:sz="0" w:space="0" w:color="auto"/>
        <w:left w:val="none" w:sz="0" w:space="0" w:color="auto"/>
        <w:bottom w:val="none" w:sz="0" w:space="0" w:color="auto"/>
        <w:right w:val="none" w:sz="0" w:space="0" w:color="auto"/>
      </w:divBdr>
    </w:div>
    <w:div w:id="125710280">
      <w:bodyDiv w:val="1"/>
      <w:marLeft w:val="0"/>
      <w:marRight w:val="0"/>
      <w:marTop w:val="0"/>
      <w:marBottom w:val="0"/>
      <w:divBdr>
        <w:top w:val="none" w:sz="0" w:space="0" w:color="auto"/>
        <w:left w:val="none" w:sz="0" w:space="0" w:color="auto"/>
        <w:bottom w:val="none" w:sz="0" w:space="0" w:color="auto"/>
        <w:right w:val="none" w:sz="0" w:space="0" w:color="auto"/>
      </w:divBdr>
    </w:div>
    <w:div w:id="154343362">
      <w:bodyDiv w:val="1"/>
      <w:marLeft w:val="0"/>
      <w:marRight w:val="0"/>
      <w:marTop w:val="0"/>
      <w:marBottom w:val="0"/>
      <w:divBdr>
        <w:top w:val="none" w:sz="0" w:space="0" w:color="auto"/>
        <w:left w:val="none" w:sz="0" w:space="0" w:color="auto"/>
        <w:bottom w:val="none" w:sz="0" w:space="0" w:color="auto"/>
        <w:right w:val="none" w:sz="0" w:space="0" w:color="auto"/>
      </w:divBdr>
    </w:div>
    <w:div w:id="228730264">
      <w:bodyDiv w:val="1"/>
      <w:marLeft w:val="0"/>
      <w:marRight w:val="0"/>
      <w:marTop w:val="0"/>
      <w:marBottom w:val="0"/>
      <w:divBdr>
        <w:top w:val="none" w:sz="0" w:space="0" w:color="auto"/>
        <w:left w:val="none" w:sz="0" w:space="0" w:color="auto"/>
        <w:bottom w:val="none" w:sz="0" w:space="0" w:color="auto"/>
        <w:right w:val="none" w:sz="0" w:space="0" w:color="auto"/>
      </w:divBdr>
    </w:div>
    <w:div w:id="382218631">
      <w:bodyDiv w:val="1"/>
      <w:marLeft w:val="0"/>
      <w:marRight w:val="0"/>
      <w:marTop w:val="0"/>
      <w:marBottom w:val="0"/>
      <w:divBdr>
        <w:top w:val="none" w:sz="0" w:space="0" w:color="auto"/>
        <w:left w:val="none" w:sz="0" w:space="0" w:color="auto"/>
        <w:bottom w:val="none" w:sz="0" w:space="0" w:color="auto"/>
        <w:right w:val="none" w:sz="0" w:space="0" w:color="auto"/>
      </w:divBdr>
    </w:div>
    <w:div w:id="442262409">
      <w:bodyDiv w:val="1"/>
      <w:marLeft w:val="0"/>
      <w:marRight w:val="0"/>
      <w:marTop w:val="0"/>
      <w:marBottom w:val="0"/>
      <w:divBdr>
        <w:top w:val="none" w:sz="0" w:space="0" w:color="auto"/>
        <w:left w:val="none" w:sz="0" w:space="0" w:color="auto"/>
        <w:bottom w:val="none" w:sz="0" w:space="0" w:color="auto"/>
        <w:right w:val="none" w:sz="0" w:space="0" w:color="auto"/>
      </w:divBdr>
    </w:div>
    <w:div w:id="535041652">
      <w:bodyDiv w:val="1"/>
      <w:marLeft w:val="0"/>
      <w:marRight w:val="0"/>
      <w:marTop w:val="0"/>
      <w:marBottom w:val="0"/>
      <w:divBdr>
        <w:top w:val="none" w:sz="0" w:space="0" w:color="auto"/>
        <w:left w:val="none" w:sz="0" w:space="0" w:color="auto"/>
        <w:bottom w:val="none" w:sz="0" w:space="0" w:color="auto"/>
        <w:right w:val="none" w:sz="0" w:space="0" w:color="auto"/>
      </w:divBdr>
    </w:div>
    <w:div w:id="544831133">
      <w:bodyDiv w:val="1"/>
      <w:marLeft w:val="0"/>
      <w:marRight w:val="0"/>
      <w:marTop w:val="0"/>
      <w:marBottom w:val="0"/>
      <w:divBdr>
        <w:top w:val="none" w:sz="0" w:space="0" w:color="auto"/>
        <w:left w:val="none" w:sz="0" w:space="0" w:color="auto"/>
        <w:bottom w:val="none" w:sz="0" w:space="0" w:color="auto"/>
        <w:right w:val="none" w:sz="0" w:space="0" w:color="auto"/>
      </w:divBdr>
    </w:div>
    <w:div w:id="551892688">
      <w:bodyDiv w:val="1"/>
      <w:marLeft w:val="0"/>
      <w:marRight w:val="0"/>
      <w:marTop w:val="0"/>
      <w:marBottom w:val="0"/>
      <w:divBdr>
        <w:top w:val="none" w:sz="0" w:space="0" w:color="auto"/>
        <w:left w:val="none" w:sz="0" w:space="0" w:color="auto"/>
        <w:bottom w:val="none" w:sz="0" w:space="0" w:color="auto"/>
        <w:right w:val="none" w:sz="0" w:space="0" w:color="auto"/>
      </w:divBdr>
    </w:div>
    <w:div w:id="576398482">
      <w:bodyDiv w:val="1"/>
      <w:marLeft w:val="0"/>
      <w:marRight w:val="0"/>
      <w:marTop w:val="0"/>
      <w:marBottom w:val="0"/>
      <w:divBdr>
        <w:top w:val="none" w:sz="0" w:space="0" w:color="auto"/>
        <w:left w:val="none" w:sz="0" w:space="0" w:color="auto"/>
        <w:bottom w:val="none" w:sz="0" w:space="0" w:color="auto"/>
        <w:right w:val="none" w:sz="0" w:space="0" w:color="auto"/>
      </w:divBdr>
    </w:div>
    <w:div w:id="649213001">
      <w:bodyDiv w:val="1"/>
      <w:marLeft w:val="0"/>
      <w:marRight w:val="0"/>
      <w:marTop w:val="0"/>
      <w:marBottom w:val="0"/>
      <w:divBdr>
        <w:top w:val="none" w:sz="0" w:space="0" w:color="auto"/>
        <w:left w:val="none" w:sz="0" w:space="0" w:color="auto"/>
        <w:bottom w:val="none" w:sz="0" w:space="0" w:color="auto"/>
        <w:right w:val="none" w:sz="0" w:space="0" w:color="auto"/>
      </w:divBdr>
    </w:div>
    <w:div w:id="678892141">
      <w:bodyDiv w:val="1"/>
      <w:marLeft w:val="0"/>
      <w:marRight w:val="0"/>
      <w:marTop w:val="0"/>
      <w:marBottom w:val="0"/>
      <w:divBdr>
        <w:top w:val="none" w:sz="0" w:space="0" w:color="auto"/>
        <w:left w:val="none" w:sz="0" w:space="0" w:color="auto"/>
        <w:bottom w:val="none" w:sz="0" w:space="0" w:color="auto"/>
        <w:right w:val="none" w:sz="0" w:space="0" w:color="auto"/>
      </w:divBdr>
    </w:div>
    <w:div w:id="700132631">
      <w:bodyDiv w:val="1"/>
      <w:marLeft w:val="0"/>
      <w:marRight w:val="0"/>
      <w:marTop w:val="0"/>
      <w:marBottom w:val="0"/>
      <w:divBdr>
        <w:top w:val="none" w:sz="0" w:space="0" w:color="auto"/>
        <w:left w:val="none" w:sz="0" w:space="0" w:color="auto"/>
        <w:bottom w:val="none" w:sz="0" w:space="0" w:color="auto"/>
        <w:right w:val="none" w:sz="0" w:space="0" w:color="auto"/>
      </w:divBdr>
    </w:div>
    <w:div w:id="717242507">
      <w:bodyDiv w:val="1"/>
      <w:marLeft w:val="0"/>
      <w:marRight w:val="0"/>
      <w:marTop w:val="0"/>
      <w:marBottom w:val="0"/>
      <w:divBdr>
        <w:top w:val="none" w:sz="0" w:space="0" w:color="auto"/>
        <w:left w:val="none" w:sz="0" w:space="0" w:color="auto"/>
        <w:bottom w:val="none" w:sz="0" w:space="0" w:color="auto"/>
        <w:right w:val="none" w:sz="0" w:space="0" w:color="auto"/>
      </w:divBdr>
    </w:div>
    <w:div w:id="1000742455">
      <w:bodyDiv w:val="1"/>
      <w:marLeft w:val="0"/>
      <w:marRight w:val="0"/>
      <w:marTop w:val="0"/>
      <w:marBottom w:val="0"/>
      <w:divBdr>
        <w:top w:val="none" w:sz="0" w:space="0" w:color="auto"/>
        <w:left w:val="none" w:sz="0" w:space="0" w:color="auto"/>
        <w:bottom w:val="none" w:sz="0" w:space="0" w:color="auto"/>
        <w:right w:val="none" w:sz="0" w:space="0" w:color="auto"/>
      </w:divBdr>
    </w:div>
    <w:div w:id="1159344168">
      <w:bodyDiv w:val="1"/>
      <w:marLeft w:val="0"/>
      <w:marRight w:val="0"/>
      <w:marTop w:val="0"/>
      <w:marBottom w:val="0"/>
      <w:divBdr>
        <w:top w:val="none" w:sz="0" w:space="0" w:color="auto"/>
        <w:left w:val="none" w:sz="0" w:space="0" w:color="auto"/>
        <w:bottom w:val="none" w:sz="0" w:space="0" w:color="auto"/>
        <w:right w:val="none" w:sz="0" w:space="0" w:color="auto"/>
      </w:divBdr>
      <w:divsChild>
        <w:div w:id="10375060">
          <w:marLeft w:val="0"/>
          <w:marRight w:val="0"/>
          <w:marTop w:val="0"/>
          <w:marBottom w:val="0"/>
          <w:divBdr>
            <w:top w:val="none" w:sz="0" w:space="0" w:color="auto"/>
            <w:left w:val="none" w:sz="0" w:space="0" w:color="auto"/>
            <w:bottom w:val="none" w:sz="0" w:space="0" w:color="auto"/>
            <w:right w:val="none" w:sz="0" w:space="0" w:color="auto"/>
          </w:divBdr>
        </w:div>
        <w:div w:id="810944561">
          <w:marLeft w:val="0"/>
          <w:marRight w:val="0"/>
          <w:marTop w:val="0"/>
          <w:marBottom w:val="0"/>
          <w:divBdr>
            <w:top w:val="none" w:sz="0" w:space="0" w:color="auto"/>
            <w:left w:val="none" w:sz="0" w:space="0" w:color="auto"/>
            <w:bottom w:val="none" w:sz="0" w:space="0" w:color="auto"/>
            <w:right w:val="none" w:sz="0" w:space="0" w:color="auto"/>
          </w:divBdr>
        </w:div>
        <w:div w:id="1513492854">
          <w:marLeft w:val="0"/>
          <w:marRight w:val="0"/>
          <w:marTop w:val="0"/>
          <w:marBottom w:val="0"/>
          <w:divBdr>
            <w:top w:val="none" w:sz="0" w:space="0" w:color="auto"/>
            <w:left w:val="none" w:sz="0" w:space="0" w:color="auto"/>
            <w:bottom w:val="none" w:sz="0" w:space="0" w:color="auto"/>
            <w:right w:val="none" w:sz="0" w:space="0" w:color="auto"/>
          </w:divBdr>
        </w:div>
        <w:div w:id="1776821340">
          <w:marLeft w:val="0"/>
          <w:marRight w:val="0"/>
          <w:marTop w:val="0"/>
          <w:marBottom w:val="0"/>
          <w:divBdr>
            <w:top w:val="none" w:sz="0" w:space="0" w:color="auto"/>
            <w:left w:val="none" w:sz="0" w:space="0" w:color="auto"/>
            <w:bottom w:val="none" w:sz="0" w:space="0" w:color="auto"/>
            <w:right w:val="none" w:sz="0" w:space="0" w:color="auto"/>
          </w:divBdr>
        </w:div>
        <w:div w:id="2136367136">
          <w:marLeft w:val="0"/>
          <w:marRight w:val="0"/>
          <w:marTop w:val="0"/>
          <w:marBottom w:val="0"/>
          <w:divBdr>
            <w:top w:val="none" w:sz="0" w:space="0" w:color="auto"/>
            <w:left w:val="none" w:sz="0" w:space="0" w:color="auto"/>
            <w:bottom w:val="none" w:sz="0" w:space="0" w:color="auto"/>
            <w:right w:val="none" w:sz="0" w:space="0" w:color="auto"/>
          </w:divBdr>
        </w:div>
      </w:divsChild>
    </w:div>
    <w:div w:id="1205947282">
      <w:bodyDiv w:val="1"/>
      <w:marLeft w:val="0"/>
      <w:marRight w:val="0"/>
      <w:marTop w:val="0"/>
      <w:marBottom w:val="0"/>
      <w:divBdr>
        <w:top w:val="none" w:sz="0" w:space="0" w:color="auto"/>
        <w:left w:val="none" w:sz="0" w:space="0" w:color="auto"/>
        <w:bottom w:val="none" w:sz="0" w:space="0" w:color="auto"/>
        <w:right w:val="none" w:sz="0" w:space="0" w:color="auto"/>
      </w:divBdr>
    </w:div>
    <w:div w:id="1244026176">
      <w:bodyDiv w:val="1"/>
      <w:marLeft w:val="0"/>
      <w:marRight w:val="0"/>
      <w:marTop w:val="0"/>
      <w:marBottom w:val="0"/>
      <w:divBdr>
        <w:top w:val="none" w:sz="0" w:space="0" w:color="auto"/>
        <w:left w:val="none" w:sz="0" w:space="0" w:color="auto"/>
        <w:bottom w:val="none" w:sz="0" w:space="0" w:color="auto"/>
        <w:right w:val="none" w:sz="0" w:space="0" w:color="auto"/>
      </w:divBdr>
    </w:div>
    <w:div w:id="1409689723">
      <w:bodyDiv w:val="1"/>
      <w:marLeft w:val="0"/>
      <w:marRight w:val="0"/>
      <w:marTop w:val="0"/>
      <w:marBottom w:val="0"/>
      <w:divBdr>
        <w:top w:val="none" w:sz="0" w:space="0" w:color="auto"/>
        <w:left w:val="none" w:sz="0" w:space="0" w:color="auto"/>
        <w:bottom w:val="none" w:sz="0" w:space="0" w:color="auto"/>
        <w:right w:val="none" w:sz="0" w:space="0" w:color="auto"/>
      </w:divBdr>
    </w:div>
    <w:div w:id="1479881711">
      <w:bodyDiv w:val="1"/>
      <w:marLeft w:val="0"/>
      <w:marRight w:val="0"/>
      <w:marTop w:val="0"/>
      <w:marBottom w:val="0"/>
      <w:divBdr>
        <w:top w:val="none" w:sz="0" w:space="0" w:color="auto"/>
        <w:left w:val="none" w:sz="0" w:space="0" w:color="auto"/>
        <w:bottom w:val="none" w:sz="0" w:space="0" w:color="auto"/>
        <w:right w:val="none" w:sz="0" w:space="0" w:color="auto"/>
      </w:divBdr>
      <w:divsChild>
        <w:div w:id="1412383968">
          <w:marLeft w:val="0"/>
          <w:marRight w:val="0"/>
          <w:marTop w:val="100"/>
          <w:marBottom w:val="100"/>
          <w:divBdr>
            <w:top w:val="none" w:sz="0" w:space="0" w:color="auto"/>
            <w:left w:val="none" w:sz="0" w:space="0" w:color="auto"/>
            <w:bottom w:val="none" w:sz="0" w:space="0" w:color="auto"/>
            <w:right w:val="none" w:sz="0" w:space="0" w:color="auto"/>
          </w:divBdr>
          <w:divsChild>
            <w:div w:id="1155881152">
              <w:marLeft w:val="0"/>
              <w:marRight w:val="0"/>
              <w:marTop w:val="0"/>
              <w:marBottom w:val="0"/>
              <w:divBdr>
                <w:top w:val="single" w:sz="6" w:space="4" w:color="DCDCDC"/>
                <w:left w:val="single" w:sz="6" w:space="4" w:color="DCDCDC"/>
                <w:bottom w:val="single" w:sz="6" w:space="0" w:color="DCDCDC"/>
                <w:right w:val="single" w:sz="6" w:space="4" w:color="DCDCDC"/>
              </w:divBdr>
              <w:divsChild>
                <w:div w:id="2112890621">
                  <w:marLeft w:val="0"/>
                  <w:marRight w:val="0"/>
                  <w:marTop w:val="0"/>
                  <w:marBottom w:val="0"/>
                  <w:divBdr>
                    <w:top w:val="none" w:sz="0" w:space="0" w:color="auto"/>
                    <w:left w:val="none" w:sz="0" w:space="0" w:color="auto"/>
                    <w:bottom w:val="none" w:sz="0" w:space="0" w:color="auto"/>
                    <w:right w:val="none" w:sz="0" w:space="0" w:color="auto"/>
                  </w:divBdr>
                  <w:divsChild>
                    <w:div w:id="476339316">
                      <w:marLeft w:val="0"/>
                      <w:marRight w:val="0"/>
                      <w:marTop w:val="0"/>
                      <w:marBottom w:val="0"/>
                      <w:divBdr>
                        <w:top w:val="none" w:sz="0" w:space="0" w:color="auto"/>
                        <w:left w:val="none" w:sz="0" w:space="0" w:color="auto"/>
                        <w:bottom w:val="none" w:sz="0" w:space="0" w:color="auto"/>
                        <w:right w:val="none" w:sz="0" w:space="0" w:color="auto"/>
                      </w:divBdr>
                      <w:divsChild>
                        <w:div w:id="45733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309328">
      <w:bodyDiv w:val="1"/>
      <w:marLeft w:val="0"/>
      <w:marRight w:val="0"/>
      <w:marTop w:val="0"/>
      <w:marBottom w:val="0"/>
      <w:divBdr>
        <w:top w:val="none" w:sz="0" w:space="0" w:color="auto"/>
        <w:left w:val="none" w:sz="0" w:space="0" w:color="auto"/>
        <w:bottom w:val="none" w:sz="0" w:space="0" w:color="auto"/>
        <w:right w:val="none" w:sz="0" w:space="0" w:color="auto"/>
      </w:divBdr>
      <w:divsChild>
        <w:div w:id="1881552392">
          <w:marLeft w:val="0"/>
          <w:marRight w:val="0"/>
          <w:marTop w:val="100"/>
          <w:marBottom w:val="100"/>
          <w:divBdr>
            <w:top w:val="none" w:sz="0" w:space="0" w:color="auto"/>
            <w:left w:val="none" w:sz="0" w:space="0" w:color="auto"/>
            <w:bottom w:val="none" w:sz="0" w:space="0" w:color="auto"/>
            <w:right w:val="none" w:sz="0" w:space="0" w:color="auto"/>
          </w:divBdr>
          <w:divsChild>
            <w:div w:id="1855921120">
              <w:marLeft w:val="0"/>
              <w:marRight w:val="0"/>
              <w:marTop w:val="0"/>
              <w:marBottom w:val="0"/>
              <w:divBdr>
                <w:top w:val="single" w:sz="6" w:space="4" w:color="DCDCDC"/>
                <w:left w:val="single" w:sz="6" w:space="4" w:color="DCDCDC"/>
                <w:bottom w:val="single" w:sz="6" w:space="0" w:color="DCDCDC"/>
                <w:right w:val="single" w:sz="6" w:space="4" w:color="DCDCDC"/>
              </w:divBdr>
              <w:divsChild>
                <w:div w:id="10764826">
                  <w:marLeft w:val="0"/>
                  <w:marRight w:val="0"/>
                  <w:marTop w:val="0"/>
                  <w:marBottom w:val="0"/>
                  <w:divBdr>
                    <w:top w:val="none" w:sz="0" w:space="0" w:color="auto"/>
                    <w:left w:val="none" w:sz="0" w:space="0" w:color="auto"/>
                    <w:bottom w:val="none" w:sz="0" w:space="0" w:color="auto"/>
                    <w:right w:val="none" w:sz="0" w:space="0" w:color="auto"/>
                  </w:divBdr>
                  <w:divsChild>
                    <w:div w:id="276761894">
                      <w:marLeft w:val="0"/>
                      <w:marRight w:val="0"/>
                      <w:marTop w:val="0"/>
                      <w:marBottom w:val="0"/>
                      <w:divBdr>
                        <w:top w:val="none" w:sz="0" w:space="0" w:color="auto"/>
                        <w:left w:val="none" w:sz="0" w:space="0" w:color="auto"/>
                        <w:bottom w:val="none" w:sz="0" w:space="0" w:color="auto"/>
                        <w:right w:val="none" w:sz="0" w:space="0" w:color="auto"/>
                      </w:divBdr>
                      <w:divsChild>
                        <w:div w:id="20029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927364">
      <w:bodyDiv w:val="1"/>
      <w:marLeft w:val="0"/>
      <w:marRight w:val="0"/>
      <w:marTop w:val="0"/>
      <w:marBottom w:val="0"/>
      <w:divBdr>
        <w:top w:val="none" w:sz="0" w:space="0" w:color="auto"/>
        <w:left w:val="none" w:sz="0" w:space="0" w:color="auto"/>
        <w:bottom w:val="none" w:sz="0" w:space="0" w:color="auto"/>
        <w:right w:val="none" w:sz="0" w:space="0" w:color="auto"/>
      </w:divBdr>
    </w:div>
    <w:div w:id="1507285379">
      <w:bodyDiv w:val="1"/>
      <w:marLeft w:val="0"/>
      <w:marRight w:val="0"/>
      <w:marTop w:val="0"/>
      <w:marBottom w:val="0"/>
      <w:divBdr>
        <w:top w:val="none" w:sz="0" w:space="0" w:color="auto"/>
        <w:left w:val="none" w:sz="0" w:space="0" w:color="auto"/>
        <w:bottom w:val="none" w:sz="0" w:space="0" w:color="auto"/>
        <w:right w:val="none" w:sz="0" w:space="0" w:color="auto"/>
      </w:divBdr>
    </w:div>
    <w:div w:id="1617372980">
      <w:bodyDiv w:val="1"/>
      <w:marLeft w:val="0"/>
      <w:marRight w:val="0"/>
      <w:marTop w:val="0"/>
      <w:marBottom w:val="0"/>
      <w:divBdr>
        <w:top w:val="none" w:sz="0" w:space="0" w:color="auto"/>
        <w:left w:val="none" w:sz="0" w:space="0" w:color="auto"/>
        <w:bottom w:val="none" w:sz="0" w:space="0" w:color="auto"/>
        <w:right w:val="none" w:sz="0" w:space="0" w:color="auto"/>
      </w:divBdr>
      <w:divsChild>
        <w:div w:id="206916356">
          <w:marLeft w:val="0"/>
          <w:marRight w:val="0"/>
          <w:marTop w:val="0"/>
          <w:marBottom w:val="0"/>
          <w:divBdr>
            <w:top w:val="none" w:sz="0" w:space="0" w:color="auto"/>
            <w:left w:val="none" w:sz="0" w:space="0" w:color="auto"/>
            <w:bottom w:val="none" w:sz="0" w:space="0" w:color="auto"/>
            <w:right w:val="none" w:sz="0" w:space="0" w:color="auto"/>
          </w:divBdr>
        </w:div>
        <w:div w:id="526525348">
          <w:marLeft w:val="0"/>
          <w:marRight w:val="0"/>
          <w:marTop w:val="0"/>
          <w:marBottom w:val="0"/>
          <w:divBdr>
            <w:top w:val="none" w:sz="0" w:space="0" w:color="auto"/>
            <w:left w:val="none" w:sz="0" w:space="0" w:color="auto"/>
            <w:bottom w:val="none" w:sz="0" w:space="0" w:color="auto"/>
            <w:right w:val="none" w:sz="0" w:space="0" w:color="auto"/>
          </w:divBdr>
        </w:div>
        <w:div w:id="858356493">
          <w:marLeft w:val="0"/>
          <w:marRight w:val="0"/>
          <w:marTop w:val="0"/>
          <w:marBottom w:val="0"/>
          <w:divBdr>
            <w:top w:val="none" w:sz="0" w:space="0" w:color="auto"/>
            <w:left w:val="none" w:sz="0" w:space="0" w:color="auto"/>
            <w:bottom w:val="none" w:sz="0" w:space="0" w:color="auto"/>
            <w:right w:val="none" w:sz="0" w:space="0" w:color="auto"/>
          </w:divBdr>
        </w:div>
        <w:div w:id="911233722">
          <w:marLeft w:val="0"/>
          <w:marRight w:val="0"/>
          <w:marTop w:val="0"/>
          <w:marBottom w:val="0"/>
          <w:divBdr>
            <w:top w:val="none" w:sz="0" w:space="0" w:color="auto"/>
            <w:left w:val="none" w:sz="0" w:space="0" w:color="auto"/>
            <w:bottom w:val="none" w:sz="0" w:space="0" w:color="auto"/>
            <w:right w:val="none" w:sz="0" w:space="0" w:color="auto"/>
          </w:divBdr>
        </w:div>
        <w:div w:id="1077634845">
          <w:marLeft w:val="0"/>
          <w:marRight w:val="0"/>
          <w:marTop w:val="0"/>
          <w:marBottom w:val="0"/>
          <w:divBdr>
            <w:top w:val="none" w:sz="0" w:space="0" w:color="auto"/>
            <w:left w:val="none" w:sz="0" w:space="0" w:color="auto"/>
            <w:bottom w:val="none" w:sz="0" w:space="0" w:color="auto"/>
            <w:right w:val="none" w:sz="0" w:space="0" w:color="auto"/>
          </w:divBdr>
        </w:div>
        <w:div w:id="1142695190">
          <w:marLeft w:val="0"/>
          <w:marRight w:val="0"/>
          <w:marTop w:val="0"/>
          <w:marBottom w:val="0"/>
          <w:divBdr>
            <w:top w:val="none" w:sz="0" w:space="0" w:color="auto"/>
            <w:left w:val="none" w:sz="0" w:space="0" w:color="auto"/>
            <w:bottom w:val="none" w:sz="0" w:space="0" w:color="auto"/>
            <w:right w:val="none" w:sz="0" w:space="0" w:color="auto"/>
          </w:divBdr>
        </w:div>
        <w:div w:id="1161119589">
          <w:marLeft w:val="0"/>
          <w:marRight w:val="0"/>
          <w:marTop w:val="0"/>
          <w:marBottom w:val="0"/>
          <w:divBdr>
            <w:top w:val="none" w:sz="0" w:space="0" w:color="auto"/>
            <w:left w:val="none" w:sz="0" w:space="0" w:color="auto"/>
            <w:bottom w:val="none" w:sz="0" w:space="0" w:color="auto"/>
            <w:right w:val="none" w:sz="0" w:space="0" w:color="auto"/>
          </w:divBdr>
        </w:div>
        <w:div w:id="1516915469">
          <w:marLeft w:val="0"/>
          <w:marRight w:val="0"/>
          <w:marTop w:val="0"/>
          <w:marBottom w:val="0"/>
          <w:divBdr>
            <w:top w:val="none" w:sz="0" w:space="0" w:color="auto"/>
            <w:left w:val="none" w:sz="0" w:space="0" w:color="auto"/>
            <w:bottom w:val="none" w:sz="0" w:space="0" w:color="auto"/>
            <w:right w:val="none" w:sz="0" w:space="0" w:color="auto"/>
          </w:divBdr>
        </w:div>
        <w:div w:id="1783063347">
          <w:marLeft w:val="0"/>
          <w:marRight w:val="0"/>
          <w:marTop w:val="0"/>
          <w:marBottom w:val="0"/>
          <w:divBdr>
            <w:top w:val="none" w:sz="0" w:space="0" w:color="auto"/>
            <w:left w:val="none" w:sz="0" w:space="0" w:color="auto"/>
            <w:bottom w:val="none" w:sz="0" w:space="0" w:color="auto"/>
            <w:right w:val="none" w:sz="0" w:space="0" w:color="auto"/>
          </w:divBdr>
        </w:div>
        <w:div w:id="1787190645">
          <w:marLeft w:val="0"/>
          <w:marRight w:val="0"/>
          <w:marTop w:val="0"/>
          <w:marBottom w:val="0"/>
          <w:divBdr>
            <w:top w:val="none" w:sz="0" w:space="0" w:color="auto"/>
            <w:left w:val="none" w:sz="0" w:space="0" w:color="auto"/>
            <w:bottom w:val="none" w:sz="0" w:space="0" w:color="auto"/>
            <w:right w:val="none" w:sz="0" w:space="0" w:color="auto"/>
          </w:divBdr>
        </w:div>
        <w:div w:id="2095856381">
          <w:marLeft w:val="0"/>
          <w:marRight w:val="0"/>
          <w:marTop w:val="0"/>
          <w:marBottom w:val="0"/>
          <w:divBdr>
            <w:top w:val="none" w:sz="0" w:space="0" w:color="auto"/>
            <w:left w:val="none" w:sz="0" w:space="0" w:color="auto"/>
            <w:bottom w:val="none" w:sz="0" w:space="0" w:color="auto"/>
            <w:right w:val="none" w:sz="0" w:space="0" w:color="auto"/>
          </w:divBdr>
        </w:div>
        <w:div w:id="2125877885">
          <w:marLeft w:val="0"/>
          <w:marRight w:val="0"/>
          <w:marTop w:val="0"/>
          <w:marBottom w:val="0"/>
          <w:divBdr>
            <w:top w:val="none" w:sz="0" w:space="0" w:color="auto"/>
            <w:left w:val="none" w:sz="0" w:space="0" w:color="auto"/>
            <w:bottom w:val="none" w:sz="0" w:space="0" w:color="auto"/>
            <w:right w:val="none" w:sz="0" w:space="0" w:color="auto"/>
          </w:divBdr>
        </w:div>
      </w:divsChild>
    </w:div>
    <w:div w:id="1633485816">
      <w:bodyDiv w:val="1"/>
      <w:marLeft w:val="0"/>
      <w:marRight w:val="0"/>
      <w:marTop w:val="0"/>
      <w:marBottom w:val="0"/>
      <w:divBdr>
        <w:top w:val="none" w:sz="0" w:space="0" w:color="auto"/>
        <w:left w:val="none" w:sz="0" w:space="0" w:color="auto"/>
        <w:bottom w:val="none" w:sz="0" w:space="0" w:color="auto"/>
        <w:right w:val="none" w:sz="0" w:space="0" w:color="auto"/>
      </w:divBdr>
    </w:div>
    <w:div w:id="1750418724">
      <w:bodyDiv w:val="1"/>
      <w:marLeft w:val="0"/>
      <w:marRight w:val="0"/>
      <w:marTop w:val="0"/>
      <w:marBottom w:val="0"/>
      <w:divBdr>
        <w:top w:val="none" w:sz="0" w:space="0" w:color="auto"/>
        <w:left w:val="none" w:sz="0" w:space="0" w:color="auto"/>
        <w:bottom w:val="none" w:sz="0" w:space="0" w:color="auto"/>
        <w:right w:val="none" w:sz="0" w:space="0" w:color="auto"/>
      </w:divBdr>
    </w:div>
    <w:div w:id="1832059982">
      <w:bodyDiv w:val="1"/>
      <w:marLeft w:val="0"/>
      <w:marRight w:val="0"/>
      <w:marTop w:val="0"/>
      <w:marBottom w:val="0"/>
      <w:divBdr>
        <w:top w:val="none" w:sz="0" w:space="0" w:color="auto"/>
        <w:left w:val="none" w:sz="0" w:space="0" w:color="auto"/>
        <w:bottom w:val="none" w:sz="0" w:space="0" w:color="auto"/>
        <w:right w:val="none" w:sz="0" w:space="0" w:color="auto"/>
      </w:divBdr>
    </w:div>
    <w:div w:id="1965424679">
      <w:bodyDiv w:val="1"/>
      <w:marLeft w:val="0"/>
      <w:marRight w:val="0"/>
      <w:marTop w:val="0"/>
      <w:marBottom w:val="0"/>
      <w:divBdr>
        <w:top w:val="none" w:sz="0" w:space="0" w:color="auto"/>
        <w:left w:val="none" w:sz="0" w:space="0" w:color="auto"/>
        <w:bottom w:val="none" w:sz="0" w:space="0" w:color="auto"/>
        <w:right w:val="none" w:sz="0" w:space="0" w:color="auto"/>
      </w:divBdr>
    </w:div>
    <w:div w:id="207311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D2DD2-2513-4E64-B349-9C85DDDA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50258</Words>
  <Characters>28648</Characters>
  <Application>Microsoft Office Word</Application>
  <DocSecurity>0</DocSecurity>
  <Lines>238</Lines>
  <Paragraphs>157</Paragraphs>
  <ScaleCrop>false</ScaleCrop>
  <HeadingPairs>
    <vt:vector size="2" baseType="variant">
      <vt:variant>
        <vt:lpstr>Название</vt:lpstr>
      </vt:variant>
      <vt:variant>
        <vt:i4>1</vt:i4>
      </vt:variant>
    </vt:vector>
  </HeadingPairs>
  <TitlesOfParts>
    <vt:vector size="1" baseType="lpstr">
      <vt:lpstr>ПРИМІТКИ ДО РІЧНОЇ ФІНАНСОВОЇ ЗВІТНОСТІ</vt:lpstr>
    </vt:vector>
  </TitlesOfParts>
  <Company>Microsoft</Company>
  <LinksUpToDate>false</LinksUpToDate>
  <CharactersWithSpaces>78749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ПРИМІТКИ ДО РІЧНОЇ ФІНАНСОВОЇ ЗВІТНОСТІ</dc:title>
  <dc:creator>Admin</dc:creator>
  <cp:lastModifiedBy>YG</cp:lastModifiedBy>
  <cp:revision>4</cp:revision>
  <cp:lastPrinted>2018-02-08T09:32:00Z</cp:lastPrinted>
  <dcterms:created xsi:type="dcterms:W3CDTF">2018-04-23T10:13:00Z</dcterms:created>
  <dcterms:modified xsi:type="dcterms:W3CDTF">2018-04-23T10:16:00Z</dcterms:modified>
</cp:coreProperties>
</file>