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t>«ЗАТВЕРДЖЕНО»</w:t>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right"/>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center"/>
        <w:rPr>
          <w:rFonts w:ascii="Times New Roman" w:cs="Times New Roman" w:hAnsi="Times New Roman"/>
          <w:sz w:val="32"/>
          <w:szCs w:val="32"/>
          <w:lang w:val="uk-UA"/>
        </w:rPr>
      </w:pPr>
      <w:r>
        <w:rPr>
          <w:rFonts w:ascii="Times New Roman" w:cs="Times New Roman" w:hAnsi="Times New Roman"/>
          <w:sz w:val="32"/>
          <w:szCs w:val="32"/>
          <w:lang w:val="uk-UA"/>
        </w:rPr>
        <w:t xml:space="preserve">ТЕНДЕРНА ДОКУМЕНТАЦІЯ </w:t>
      </w:r>
    </w:p>
    <w:p>
      <w:pPr>
        <w:pStyle w:val="style0"/>
        <w:spacing w:after="0" w:before="0" w:line="100" w:lineRule="atLeast"/>
        <w:contextualSpacing w:val="false"/>
        <w:jc w:val="center"/>
        <w:rPr>
          <w:rFonts w:ascii="Times New Roman" w:cs="Times New Roman" w:hAnsi="Times New Roman"/>
          <w:sz w:val="32"/>
          <w:szCs w:val="32"/>
          <w:lang w:val="uk-UA"/>
        </w:rPr>
      </w:pPr>
      <w:r>
        <w:rPr>
          <w:rFonts w:ascii="Times New Roman" w:cs="Times New Roman" w:hAnsi="Times New Roman"/>
          <w:sz w:val="32"/>
          <w:szCs w:val="32"/>
          <w:lang w:val="uk-UA"/>
        </w:rPr>
        <w:t>НА ПРОВЕДЕННЯ КОНКУРСУ З ВІДБОРУ СУБ</w:t>
      </w:r>
      <w:r>
        <w:rPr>
          <w:rFonts w:ascii="Times New Roman" w:cs="Times New Roman" w:hAnsi="Times New Roman"/>
          <w:sz w:val="32"/>
          <w:szCs w:val="32"/>
        </w:rPr>
        <w:t>’</w:t>
      </w:r>
      <w:r>
        <w:rPr>
          <w:rFonts w:ascii="Times New Roman" w:cs="Times New Roman" w:hAnsi="Times New Roman"/>
          <w:sz w:val="32"/>
          <w:szCs w:val="32"/>
          <w:lang w:val="uk-UA"/>
        </w:rPr>
        <w:t xml:space="preserve">ЄКТІВ  </w:t>
      </w:r>
    </w:p>
    <w:p>
      <w:pPr>
        <w:pStyle w:val="style0"/>
        <w:spacing w:after="0" w:before="0" w:line="100" w:lineRule="atLeast"/>
        <w:contextualSpacing w:val="false"/>
        <w:jc w:val="center"/>
        <w:rPr>
          <w:rFonts w:ascii="Times New Roman" w:cs="Times New Roman" w:hAnsi="Times New Roman"/>
          <w:sz w:val="32"/>
          <w:szCs w:val="32"/>
          <w:lang w:val="uk-UA"/>
        </w:rPr>
      </w:pPr>
      <w:r>
        <w:rPr>
          <w:rFonts w:ascii="Times New Roman" w:cs="Times New Roman" w:hAnsi="Times New Roman"/>
          <w:sz w:val="32"/>
          <w:szCs w:val="32"/>
          <w:lang w:val="uk-UA"/>
        </w:rPr>
        <w:t>АУДИТОРСЬКОЇ ДІЯЛЬНОСТІ ДЛЯ НАДАННЯ ПОСЛУГ З ОБОВ</w:t>
      </w:r>
      <w:r>
        <w:rPr>
          <w:rFonts w:ascii="Times New Roman" w:cs="Times New Roman" w:hAnsi="Times New Roman"/>
          <w:sz w:val="32"/>
          <w:szCs w:val="32"/>
        </w:rPr>
        <w:t>’</w:t>
      </w:r>
      <w:r>
        <w:rPr>
          <w:rFonts w:ascii="Times New Roman" w:cs="Times New Roman" w:hAnsi="Times New Roman"/>
          <w:sz w:val="32"/>
          <w:szCs w:val="32"/>
          <w:lang w:val="uk-UA"/>
        </w:rPr>
        <w:t>ЯЗКОВОГО АУДИТУ ФІНАНСОВОЇ ЗВІТНОСТІ</w:t>
      </w:r>
    </w:p>
    <w:p>
      <w:pPr>
        <w:pStyle w:val="style0"/>
        <w:spacing w:after="0" w:before="0" w:line="100" w:lineRule="atLeast"/>
        <w:contextualSpacing w:val="false"/>
        <w:jc w:val="center"/>
        <w:rPr>
          <w:rFonts w:ascii="Times New Roman" w:cs="Times New Roman" w:hAnsi="Times New Roman"/>
          <w:sz w:val="32"/>
          <w:szCs w:val="32"/>
          <w:lang w:val="uk-UA"/>
        </w:rPr>
      </w:pPr>
      <w:r>
        <w:rPr>
          <w:rFonts w:ascii="Times New Roman" w:cs="Times New Roman" w:hAnsi="Times New Roman"/>
          <w:sz w:val="32"/>
          <w:szCs w:val="32"/>
          <w:lang w:val="uk-UA"/>
        </w:rPr>
        <w:t>ТОВ «КРЕДО-СТОЛИЦЯ»</w:t>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м. Київ</w:t>
      </w:r>
    </w:p>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2019</w:t>
      </w:r>
    </w:p>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r>
    </w:p>
    <w:tbl>
      <w:tblPr>
        <w:tblW w:type="dxa" w:w="9355"/>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37"/>
        <w:gridCol w:w="8418"/>
      </w:tblGrid>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w:t>
            </w:r>
          </w:p>
        </w:tc>
        <w:tc>
          <w:tcPr>
            <w:tcW w:type="dxa" w:w="8418"/>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Відомості про Замовника:</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1.1.</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Повне найменування:</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ТОВАРИСТВО З ОБМЕЖЕНОЮ ВІДПОВІДАЛЬНІСТЮ «КРЕДО-СТОЛИЦЯ»</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1.2.</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Скорочене найменування:</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ТОВ «КРЕДО-СТОЛИЦЯ»</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1.3.</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Код ЄДРПОУ:</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37956390</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1.4.</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Місцезнаходження:</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01042, м.Київ, ВУЛИЦЯ ЧИГОРІНА, будинок 12</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1.5.</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shd w:fill="auto" w:val="clear"/>
                <w:lang w:val="uk-UA"/>
              </w:rPr>
            </w:pPr>
            <w:r>
              <w:rPr>
                <w:rFonts w:ascii="Times New Roman" w:cs="Times New Roman" w:hAnsi="Times New Roman"/>
                <w:sz w:val="24"/>
                <w:szCs w:val="24"/>
                <w:shd w:fill="auto" w:val="clear"/>
                <w:lang w:val="uk-UA"/>
              </w:rPr>
              <w:t>Контактна особа:</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shd w:fill="auto" w:val="clear"/>
                <w:lang w:val="uk-UA"/>
              </w:rPr>
            </w:pPr>
            <w:r>
              <w:rPr>
                <w:rFonts w:ascii="Times New Roman" w:cs="Times New Roman" w:hAnsi="Times New Roman"/>
                <w:sz w:val="24"/>
                <w:szCs w:val="24"/>
                <w:shd w:fill="auto" w:val="clear"/>
                <w:lang w:val="uk-UA"/>
              </w:rPr>
              <w:t xml:space="preserve">Онишко Оксана Юріївна </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1.6.</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Основний вид діяльності:</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 xml:space="preserve">Код КВЕД 64.99 Надання інших фінансових послуг (крім страхування та пенсійного забезпечення), н. в. і. у. </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2.</w:t>
            </w:r>
          </w:p>
        </w:tc>
        <w:tc>
          <w:tcPr>
            <w:tcW w:type="dxa" w:w="8418"/>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Інформація про послугу:</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2.1.</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Вид послуги:</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shd w:fill="auto" w:val="clear"/>
                <w:lang w:val="uk-UA"/>
              </w:rPr>
            </w:pPr>
            <w:r>
              <w:rPr>
                <w:rFonts w:ascii="Times New Roman" w:cs="Times New Roman" w:hAnsi="Times New Roman"/>
                <w:sz w:val="24"/>
                <w:szCs w:val="24"/>
                <w:lang w:val="uk-UA"/>
              </w:rPr>
              <w:t xml:space="preserve">Проведення обов’язкового аудиту фінансової звітності </w:t>
            </w:r>
            <w:r>
              <w:rPr>
                <w:rFonts w:ascii="Times New Roman" w:cs="Times New Roman" w:hAnsi="Times New Roman"/>
                <w:sz w:val="24"/>
                <w:szCs w:val="24"/>
                <w:shd w:fill="auto" w:val="clear"/>
                <w:lang w:val="uk-UA"/>
              </w:rPr>
              <w:t>за 2019 рік</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2.2.</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Завдання з обов’язкового аудиту фінансової звітності:</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shd w:fill="auto" w:val="clear"/>
                <w:lang w:val="uk-UA"/>
              </w:rPr>
            </w:pPr>
            <w:r>
              <w:rPr>
                <w:rFonts w:ascii="Times New Roman" w:cs="Times New Roman" w:hAnsi="Times New Roman"/>
                <w:sz w:val="24"/>
                <w:szCs w:val="24"/>
                <w:lang w:val="uk-UA"/>
              </w:rPr>
              <w:t>Здійснення аудиторської перевірки фінансової звітності</w:t>
            </w:r>
            <w:r>
              <w:rPr>
                <w:rFonts w:ascii="Times New Roman" w:cs="Times New Roman" w:hAnsi="Times New Roman"/>
                <w:sz w:val="24"/>
                <w:szCs w:val="24"/>
                <w:shd w:fill="auto" w:val="clear"/>
                <w:lang w:val="uk-UA"/>
              </w:rPr>
              <w:t xml:space="preserve"> за 2019р.</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2.3.</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Місце надання послуги:</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01042, м.Київ, ВУЛИЦЯ ЧИГОРІНА, будинок 12</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2.4.</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Строки надання послуги:</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shd w:fill="auto" w:val="clear"/>
                <w:lang w:val="uk-UA"/>
              </w:rPr>
            </w:pPr>
            <w:r>
              <w:rPr>
                <w:rFonts w:ascii="Times New Roman" w:cs="Times New Roman" w:hAnsi="Times New Roman"/>
                <w:sz w:val="24"/>
                <w:szCs w:val="24"/>
                <w:lang w:val="uk-UA"/>
              </w:rPr>
              <w:t>Дата початку – з моменту набрання чинності Договору про надання аудиторських послуг. Дата закінчення: не пізніше</w:t>
            </w:r>
            <w:r>
              <w:rPr>
                <w:rFonts w:ascii="Times New Roman" w:cs="Times New Roman" w:hAnsi="Times New Roman"/>
                <w:sz w:val="24"/>
                <w:szCs w:val="24"/>
                <w:shd w:fill="auto" w:val="clear"/>
                <w:lang w:val="uk-UA"/>
              </w:rPr>
              <w:t xml:space="preserve"> «</w:t>
            </w:r>
            <w:r>
              <w:rPr>
                <w:rFonts w:ascii="Times New Roman" w:cs="Times New Roman" w:hAnsi="Times New Roman"/>
                <w:sz w:val="24"/>
                <w:szCs w:val="24"/>
                <w:shd w:fill="auto" w:val="clear"/>
                <w:lang w:val="uk-UA"/>
              </w:rPr>
              <w:t>31</w:t>
            </w:r>
            <w:r>
              <w:rPr>
                <w:rFonts w:ascii="Times New Roman" w:cs="Times New Roman" w:hAnsi="Times New Roman"/>
                <w:sz w:val="24"/>
                <w:szCs w:val="24"/>
                <w:shd w:fill="auto" w:val="clear"/>
                <w:lang w:val="uk-UA"/>
              </w:rPr>
              <w:t xml:space="preserve">» </w:t>
            </w:r>
            <w:r>
              <w:rPr>
                <w:rFonts w:ascii="Times New Roman" w:cs="Times New Roman" w:hAnsi="Times New Roman"/>
                <w:sz w:val="24"/>
                <w:szCs w:val="24"/>
                <w:shd w:fill="auto" w:val="clear"/>
                <w:lang w:val="uk-UA"/>
              </w:rPr>
              <w:t xml:space="preserve">березня </w:t>
            </w:r>
            <w:r>
              <w:rPr>
                <w:rFonts w:ascii="Times New Roman" w:cs="Times New Roman" w:hAnsi="Times New Roman"/>
                <w:sz w:val="24"/>
                <w:szCs w:val="24"/>
                <w:shd w:fill="auto" w:val="clear"/>
                <w:lang w:val="uk-UA"/>
              </w:rPr>
              <w:t>20</w:t>
            </w:r>
            <w:r>
              <w:rPr>
                <w:rFonts w:ascii="Times New Roman" w:cs="Times New Roman" w:hAnsi="Times New Roman"/>
                <w:sz w:val="24"/>
                <w:szCs w:val="24"/>
                <w:shd w:fill="auto" w:val="clear"/>
                <w:lang w:val="uk-UA"/>
              </w:rPr>
              <w:t xml:space="preserve">20 </w:t>
            </w:r>
            <w:r>
              <w:rPr>
                <w:rFonts w:ascii="Times New Roman" w:cs="Times New Roman" w:hAnsi="Times New Roman"/>
                <w:sz w:val="24"/>
                <w:szCs w:val="24"/>
                <w:shd w:fill="auto" w:val="clear"/>
                <w:lang w:val="uk-UA"/>
              </w:rPr>
              <w:t>р.</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3.</w:t>
            </w:r>
          </w:p>
        </w:tc>
        <w:tc>
          <w:tcPr>
            <w:tcW w:type="dxa" w:w="8418"/>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Проведення конкурсу:</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3.1.</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Дата початку:</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shd w:fill="auto" w:val="clear"/>
                <w:lang w:val="uk-UA"/>
              </w:rPr>
            </w:pPr>
            <w:r>
              <w:rPr>
                <w:rFonts w:ascii="Times New Roman" w:cs="Times New Roman" w:hAnsi="Times New Roman"/>
                <w:sz w:val="24"/>
                <w:szCs w:val="24"/>
                <w:shd w:fill="auto" w:val="clear"/>
                <w:lang w:val="uk-UA"/>
              </w:rPr>
              <w:t>«</w:t>
            </w:r>
            <w:r>
              <w:rPr>
                <w:rFonts w:ascii="Times New Roman" w:cs="Times New Roman" w:hAnsi="Times New Roman"/>
                <w:sz w:val="24"/>
                <w:szCs w:val="24"/>
                <w:shd w:fill="auto" w:val="clear"/>
                <w:lang w:val="uk-UA"/>
              </w:rPr>
              <w:t>10</w:t>
            </w:r>
            <w:r>
              <w:rPr>
                <w:rFonts w:ascii="Times New Roman" w:cs="Times New Roman" w:hAnsi="Times New Roman"/>
                <w:sz w:val="24"/>
                <w:szCs w:val="24"/>
                <w:shd w:fill="auto" w:val="clear"/>
                <w:lang w:val="uk-UA"/>
              </w:rPr>
              <w:t xml:space="preserve">» </w:t>
            </w:r>
            <w:r>
              <w:rPr>
                <w:rFonts w:ascii="Times New Roman" w:cs="Times New Roman" w:hAnsi="Times New Roman"/>
                <w:sz w:val="24"/>
                <w:szCs w:val="24"/>
                <w:shd w:fill="auto" w:val="clear"/>
                <w:lang w:val="uk-UA"/>
              </w:rPr>
              <w:t xml:space="preserve">лютого </w:t>
            </w:r>
            <w:r>
              <w:rPr>
                <w:rFonts w:ascii="Times New Roman" w:cs="Times New Roman" w:hAnsi="Times New Roman"/>
                <w:sz w:val="24"/>
                <w:szCs w:val="24"/>
                <w:shd w:fill="auto" w:val="clear"/>
                <w:lang w:val="uk-UA"/>
              </w:rPr>
              <w:t>20</w:t>
            </w:r>
            <w:r>
              <w:rPr>
                <w:rFonts w:ascii="Times New Roman" w:cs="Times New Roman" w:hAnsi="Times New Roman"/>
                <w:sz w:val="24"/>
                <w:szCs w:val="24"/>
                <w:shd w:fill="auto" w:val="clear"/>
                <w:lang w:val="uk-UA"/>
              </w:rPr>
              <w:t xml:space="preserve">20 </w:t>
            </w:r>
            <w:r>
              <w:rPr>
                <w:rFonts w:ascii="Times New Roman" w:cs="Times New Roman" w:hAnsi="Times New Roman"/>
                <w:sz w:val="24"/>
                <w:szCs w:val="24"/>
                <w:shd w:fill="auto" w:val="clear"/>
                <w:lang w:val="uk-UA"/>
              </w:rPr>
              <w:t>р.</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3.2.</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Кінцевий строк подання документів:</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До 16-00 «</w:t>
            </w:r>
            <w:r>
              <w:rPr>
                <w:rFonts w:ascii="Times New Roman" w:cs="Times New Roman" w:hAnsi="Times New Roman"/>
                <w:sz w:val="24"/>
                <w:szCs w:val="24"/>
                <w:lang w:val="uk-UA"/>
              </w:rPr>
              <w:t>05</w:t>
            </w:r>
            <w:r>
              <w:rPr>
                <w:rFonts w:ascii="Times New Roman" w:cs="Times New Roman" w:hAnsi="Times New Roman"/>
                <w:sz w:val="24"/>
                <w:szCs w:val="24"/>
                <w:lang w:val="uk-UA"/>
              </w:rPr>
              <w:t xml:space="preserve">» </w:t>
            </w:r>
            <w:r>
              <w:rPr>
                <w:rFonts w:ascii="Times New Roman" w:cs="Times New Roman" w:hAnsi="Times New Roman"/>
                <w:sz w:val="24"/>
                <w:szCs w:val="24"/>
                <w:lang w:val="uk-UA"/>
              </w:rPr>
              <w:t>січня</w:t>
            </w:r>
            <w:r>
              <w:rPr>
                <w:rFonts w:ascii="Times New Roman" w:cs="Times New Roman" w:hAnsi="Times New Roman"/>
                <w:sz w:val="24"/>
                <w:szCs w:val="24"/>
                <w:lang w:val="uk-UA"/>
              </w:rPr>
              <w:t xml:space="preserve"> 20</w:t>
            </w:r>
            <w:r>
              <w:rPr>
                <w:rFonts w:ascii="Times New Roman" w:cs="Times New Roman" w:hAnsi="Times New Roman"/>
                <w:sz w:val="24"/>
                <w:szCs w:val="24"/>
                <w:lang w:val="uk-UA"/>
              </w:rPr>
              <w:t xml:space="preserve">20 </w:t>
            </w:r>
            <w:r>
              <w:rPr>
                <w:rFonts w:ascii="Times New Roman" w:cs="Times New Roman" w:hAnsi="Times New Roman"/>
                <w:sz w:val="24"/>
                <w:szCs w:val="24"/>
                <w:lang w:val="uk-UA"/>
              </w:rPr>
              <w:t>р.</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3.3.</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Розгляд та оцінювання пропозицій</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До «</w:t>
            </w:r>
            <w:r>
              <w:rPr>
                <w:rFonts w:ascii="Times New Roman" w:cs="Times New Roman" w:hAnsi="Times New Roman"/>
                <w:sz w:val="24"/>
                <w:szCs w:val="24"/>
                <w:lang w:val="uk-UA"/>
              </w:rPr>
              <w:t>10</w:t>
            </w:r>
            <w:r>
              <w:rPr>
                <w:rFonts w:ascii="Times New Roman" w:cs="Times New Roman" w:hAnsi="Times New Roman"/>
                <w:sz w:val="24"/>
                <w:szCs w:val="24"/>
                <w:lang w:val="uk-UA"/>
              </w:rPr>
              <w:t xml:space="preserve">» </w:t>
            </w:r>
            <w:r>
              <w:rPr>
                <w:rFonts w:ascii="Times New Roman" w:cs="Times New Roman" w:hAnsi="Times New Roman"/>
                <w:sz w:val="24"/>
                <w:szCs w:val="24"/>
                <w:lang w:val="uk-UA"/>
              </w:rPr>
              <w:t>січня</w:t>
            </w:r>
            <w:r>
              <w:rPr>
                <w:rFonts w:ascii="Times New Roman" w:cs="Times New Roman" w:hAnsi="Times New Roman"/>
                <w:sz w:val="24"/>
                <w:szCs w:val="24"/>
                <w:lang w:val="uk-UA"/>
              </w:rPr>
              <w:t>20</w:t>
            </w:r>
            <w:r>
              <w:rPr>
                <w:rFonts w:ascii="Times New Roman" w:cs="Times New Roman" w:hAnsi="Times New Roman"/>
                <w:sz w:val="24"/>
                <w:szCs w:val="24"/>
                <w:lang w:val="uk-UA"/>
              </w:rPr>
              <w:t xml:space="preserve">20 </w:t>
            </w:r>
            <w:r>
              <w:rPr>
                <w:rFonts w:ascii="Times New Roman" w:cs="Times New Roman" w:hAnsi="Times New Roman"/>
                <w:sz w:val="24"/>
                <w:szCs w:val="24"/>
                <w:lang w:val="uk-UA"/>
              </w:rPr>
              <w:t>р.</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3.4.</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Спосіб та строк повідомлення про результати конкурсу:</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shd w:fill="auto" w:val="clear"/>
                <w:lang w:val="uk-UA"/>
              </w:rPr>
            </w:pPr>
            <w:r>
              <w:rPr>
                <w:rFonts w:ascii="Times New Roman" w:cs="Times New Roman" w:hAnsi="Times New Roman"/>
                <w:sz w:val="24"/>
                <w:szCs w:val="24"/>
                <w:lang w:val="uk-UA"/>
              </w:rPr>
              <w:t xml:space="preserve">Повідомлення про результати конкурсу оприлюднюються на власному веб-сайті </w:t>
            </w:r>
            <w:hyperlink r:id="rId2">
              <w:r>
                <w:rPr>
                  <w:rStyle w:val="style16"/>
                  <w:rFonts w:ascii="Times New Roman" w:cs="Times New Roman" w:hAnsi="Times New Roman"/>
                  <w:sz w:val="24"/>
                  <w:szCs w:val="24"/>
                  <w:lang w:val="uk-UA"/>
                </w:rPr>
                <w:t>www.credostoliza.pat.ua</w:t>
              </w:r>
            </w:hyperlink>
            <w:r>
              <w:rPr>
                <w:rFonts w:ascii="Times New Roman" w:cs="Times New Roman" w:hAnsi="Times New Roman"/>
                <w:sz w:val="24"/>
                <w:szCs w:val="24"/>
                <w:lang w:val="uk-UA"/>
              </w:rPr>
              <w:t xml:space="preserve">., </w:t>
            </w:r>
            <w:r>
              <w:rPr>
                <w:rFonts w:ascii="Times New Roman" w:cs="Times New Roman" w:hAnsi="Times New Roman"/>
                <w:sz w:val="24"/>
                <w:szCs w:val="24"/>
                <w:shd w:fill="auto" w:val="clear"/>
                <w:lang w:val="uk-UA"/>
              </w:rPr>
              <w:t>а також листом на адресу учасників.</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4.</w:t>
            </w:r>
          </w:p>
        </w:tc>
        <w:tc>
          <w:tcPr>
            <w:tcW w:type="dxa" w:w="8418"/>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Вимоги до суб’єктів аудиторської діяльності (учасників конкурсу):</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4.1.</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Кваліфікаційні вимоги до суб’єктів аудиторської діяльності – учасників конкурсу:</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       </w:t>
            </w:r>
            <w:r>
              <w:rPr>
                <w:rFonts w:ascii="Times New Roman" w:cs="Times New Roman" w:hAnsi="Times New Roman"/>
                <w:sz w:val="24"/>
                <w:szCs w:val="24"/>
                <w:lang w:val="uk-UA"/>
              </w:rPr>
              <w:t>У конкурсі з відбору суб’єктів аудиторської діяльності, які можуть бути призначені для надання послуг з обов’язкового аудиту фінансової звітності, можуть брати участь суб’єкти аудиторської діяльності, що відповідають вимогам, передбаченим Законом України «Про аудит фінансової звітності та аудиторську діяльність» від 21.12.2007 №2258 (надалі Закон), зокрема:</w:t>
            </w:r>
          </w:p>
          <w:p>
            <w:pPr>
              <w:pStyle w:val="style25"/>
              <w:numPr>
                <w:ilvl w:val="0"/>
                <w:numId w:val="1"/>
              </w:numPr>
              <w:ind w:hanging="403" w:left="720" w:right="0"/>
              <w:jc w:val="both"/>
              <w:rPr>
                <w:rFonts w:ascii="Times New Roman" w:cs="Times New Roman" w:hAnsi="Times New Roman"/>
                <w:sz w:val="24"/>
                <w:szCs w:val="24"/>
                <w:lang w:val="uk-UA"/>
              </w:rPr>
            </w:pPr>
            <w:r>
              <w:rPr>
                <w:rFonts w:ascii="Times New Roman" w:cs="Times New Roman" w:hAnsi="Times New Roman"/>
                <w:sz w:val="24"/>
                <w:szCs w:val="24"/>
                <w:lang w:val="uk-UA"/>
              </w:rPr>
              <w:t>Зареєстровані у Реєстрі аудиторів та суб’єктів аудиторської діяльності;</w:t>
            </w:r>
          </w:p>
          <w:p>
            <w:pPr>
              <w:pStyle w:val="style25"/>
              <w:numPr>
                <w:ilvl w:val="0"/>
                <w:numId w:val="1"/>
              </w:numPr>
              <w:jc w:val="both"/>
              <w:rPr>
                <w:rFonts w:ascii="Times New Roman" w:cs="Times New Roman" w:hAnsi="Times New Roman"/>
                <w:sz w:val="24"/>
                <w:szCs w:val="24"/>
                <w:lang w:val="uk-UA"/>
              </w:rPr>
            </w:pPr>
            <w:r>
              <w:rPr>
                <w:rFonts w:ascii="Times New Roman" w:cs="Times New Roman" w:hAnsi="Times New Roman"/>
                <w:sz w:val="24"/>
                <w:szCs w:val="24"/>
                <w:lang w:val="uk-UA"/>
              </w:rPr>
              <w:t>Зареєстровані у окремому розділі Реєстру «Суб’єкти аудиторської діяльності, які мають право проводити обов’язків аудит фінансової звітності підприємств, що становлять суспільний інтерес»;</w:t>
            </w:r>
          </w:p>
          <w:p>
            <w:pPr>
              <w:pStyle w:val="style25"/>
              <w:numPr>
                <w:ilvl w:val="0"/>
                <w:numId w:val="1"/>
              </w:numPr>
              <w:jc w:val="both"/>
              <w:rPr>
                <w:rFonts w:ascii="Times New Roman" w:cs="Times New Roman" w:hAnsi="Times New Roman"/>
                <w:sz w:val="24"/>
                <w:szCs w:val="24"/>
                <w:lang w:val="uk-UA"/>
              </w:rPr>
            </w:pPr>
            <w:r>
              <w:rPr>
                <w:rFonts w:ascii="Times New Roman" w:cs="Times New Roman" w:hAnsi="Times New Roman"/>
                <w:sz w:val="24"/>
                <w:szCs w:val="24"/>
                <w:lang w:val="uk-UA"/>
              </w:rPr>
              <w:t>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pPr>
              <w:pStyle w:val="style25"/>
              <w:numPr>
                <w:ilvl w:val="0"/>
                <w:numId w:val="1"/>
              </w:numPr>
              <w:jc w:val="both"/>
              <w:rPr>
                <w:rFonts w:ascii="Times New Roman" w:cs="Times New Roman" w:hAnsi="Times New Roman"/>
                <w:sz w:val="24"/>
                <w:szCs w:val="24"/>
                <w:lang w:val="uk-UA"/>
              </w:rPr>
            </w:pPr>
            <w:r>
              <w:rPr>
                <w:rFonts w:ascii="Times New Roman" w:cs="Times New Roman" w:hAnsi="Times New Roman"/>
                <w:sz w:val="24"/>
                <w:szCs w:val="24"/>
                <w:lang w:val="uk-UA"/>
              </w:rPr>
              <w:t>Пройшли перевірку системи контролю якості аудиторських послуг;</w:t>
            </w:r>
          </w:p>
          <w:p>
            <w:pPr>
              <w:pStyle w:val="style25"/>
              <w:numPr>
                <w:ilvl w:val="0"/>
                <w:numId w:val="1"/>
              </w:numPr>
              <w:jc w:val="both"/>
              <w:rPr>
                <w:rFonts w:ascii="Times New Roman" w:cs="Times New Roman" w:hAnsi="Times New Roman"/>
                <w:sz w:val="24"/>
                <w:szCs w:val="24"/>
                <w:lang w:val="uk-UA"/>
              </w:rPr>
            </w:pPr>
            <w:r>
              <w:rPr>
                <w:rFonts w:ascii="Times New Roman" w:cs="Times New Roman" w:hAnsi="Times New Roman"/>
                <w:sz w:val="24"/>
                <w:szCs w:val="24"/>
                <w:lang w:val="uk-UA"/>
              </w:rPr>
              <w:t>Наявний чинний договір страхування цивільно-правової відповідальності суб’єкта аудиторської діяльності перед третіми особами, укладений згідно вимог діючого законодавства України;</w:t>
            </w:r>
          </w:p>
          <w:p>
            <w:pPr>
              <w:pStyle w:val="style25"/>
              <w:numPr>
                <w:ilvl w:val="0"/>
                <w:numId w:val="1"/>
              </w:numPr>
              <w:jc w:val="both"/>
              <w:rPr>
                <w:rFonts w:ascii="Times New Roman" w:cs="Times New Roman" w:hAnsi="Times New Roman"/>
                <w:sz w:val="24"/>
                <w:szCs w:val="24"/>
                <w:lang w:val="uk-UA"/>
              </w:rPr>
            </w:pPr>
            <w:r>
              <w:rPr>
                <w:rFonts w:ascii="Times New Roman" w:cs="Times New Roman" w:hAnsi="Times New Roman"/>
                <w:sz w:val="24"/>
                <w:szCs w:val="24"/>
                <w:lang w:val="uk-UA"/>
              </w:rPr>
              <w:t>За попередній річний звітний період сума винагороди від ТОВ «КРЕДО-СТОЛИЦЯ» не повинна перевищувати 15% загальної суми доходу від надання аудиторських послуг;</w:t>
            </w:r>
          </w:p>
          <w:p>
            <w:pPr>
              <w:pStyle w:val="style25"/>
              <w:numPr>
                <w:ilvl w:val="0"/>
                <w:numId w:val="1"/>
              </w:numPr>
              <w:jc w:val="both"/>
              <w:rPr>
                <w:rFonts w:ascii="Times New Roman" w:cs="Times New Roman" w:hAnsi="Times New Roman"/>
                <w:sz w:val="24"/>
                <w:szCs w:val="24"/>
                <w:lang w:val="uk-UA"/>
              </w:rPr>
            </w:pPr>
            <w:r>
              <w:rPr>
                <w:rFonts w:ascii="Times New Roman" w:cs="Times New Roman" w:hAnsi="Times New Roman"/>
                <w:sz w:val="24"/>
                <w:szCs w:val="24"/>
                <w:lang w:val="uk-UA"/>
              </w:rPr>
              <w:t>Безперервна тривалість виконання завдання з обов’язкового аудиту фінансової звітності Товариства для суб’єкта  аудиторської діяльності (учасника конкурсу) не може перевищувати 10 років. Умови продовження цього терміну встановлені Законом та розглядаються окремо для кожного учасника.</w:t>
            </w:r>
          </w:p>
          <w:p>
            <w:pPr>
              <w:pStyle w:val="style26"/>
              <w:spacing w:after="28" w:before="28"/>
              <w:contextualSpacing w:val="false"/>
              <w:rPr>
                <w:lang w:val="uk-UA"/>
              </w:rPr>
            </w:pPr>
            <w:r>
              <w:rPr>
                <w:lang w:val="uk-UA"/>
              </w:rPr>
              <w:t xml:space="preserve">        </w:t>
            </w:r>
            <w:r>
              <w:rPr>
                <w:lang w:val="uk-UA"/>
              </w:rPr>
              <w:t>Суб’єкт аудиторської діяльності для надання послуг з обов’язкового аудиту фінансової звітності має забезпечити:</w:t>
            </w:r>
          </w:p>
          <w:p>
            <w:pPr>
              <w:pStyle w:val="style26"/>
              <w:spacing w:after="28" w:before="28"/>
              <w:contextualSpacing w:val="false"/>
              <w:jc w:val="both"/>
              <w:rPr>
                <w:lang w:val="uk-UA"/>
              </w:rPr>
            </w:pPr>
            <w:bookmarkStart w:id="0" w:name="n386"/>
            <w:bookmarkEnd w:id="0"/>
            <w:r>
              <w:rPr/>
              <w:t xml:space="preserve">1) </w:t>
            </w:r>
            <w:r>
              <w:rPr>
                <w:lang w:val="uk-UA"/>
              </w:rPr>
              <w:t>незалежність та об’єктивність аудиторів та ключового партнера при наданні аудиторських послуг, зокрема шляхом впровадження відповідних політики та процедур, а також наявність системи контролю за їх виконанням;</w:t>
            </w:r>
          </w:p>
          <w:p>
            <w:pPr>
              <w:pStyle w:val="style26"/>
              <w:spacing w:after="28" w:before="28"/>
              <w:contextualSpacing w:val="false"/>
              <w:jc w:val="both"/>
              <w:rPr>
                <w:lang w:val="uk-UA"/>
              </w:rPr>
            </w:pPr>
            <w:bookmarkStart w:id="1" w:name="n387"/>
            <w:bookmarkEnd w:id="1"/>
            <w:r>
              <w:rPr>
                <w:lang w:val="uk-UA"/>
              </w:rPr>
              <w:t>2) запровадження системи внутрішнього контролю, процедур реєстрації та обліку фактів, інформація про які підлягає фіксації та розкриттю відповідно до цього Закону, механізмів внутрішнього контролю, застосування методики оцінки ризиків, заходів та засобів для захисту систем обробки інформації;</w:t>
            </w:r>
          </w:p>
          <w:p>
            <w:pPr>
              <w:pStyle w:val="style26"/>
              <w:spacing w:after="28" w:before="28"/>
              <w:contextualSpacing w:val="false"/>
              <w:jc w:val="both"/>
              <w:rPr>
                <w:lang w:val="uk-UA"/>
              </w:rPr>
            </w:pPr>
            <w:bookmarkStart w:id="2" w:name="n388"/>
            <w:bookmarkEnd w:id="2"/>
            <w:r>
              <w:rPr>
                <w:lang w:val="uk-UA"/>
              </w:rPr>
              <w:t>3) можливість інформування уповноваженої особи суб’єкта аудиторської діяльності про факти порушень вимог цього Закону його працівниками;</w:t>
            </w:r>
          </w:p>
          <w:p>
            <w:pPr>
              <w:pStyle w:val="style26"/>
              <w:spacing w:after="28" w:before="28"/>
              <w:contextualSpacing w:val="false"/>
              <w:jc w:val="both"/>
              <w:rPr>
                <w:lang w:val="uk-UA"/>
              </w:rPr>
            </w:pPr>
            <w:bookmarkStart w:id="3" w:name="n389"/>
            <w:bookmarkEnd w:id="3"/>
            <w:r>
              <w:rPr>
                <w:lang w:val="uk-UA"/>
              </w:rPr>
              <w:t>4) достатній рівень кваліфікації та досвіду аудиторів і персоналу, який залучається до надання послуг відповідно до міжнародних стандартів аудиту. В суб’єкті аудиторської діяльності за основним місцем роботи має працювати не менше трьох аудиторів. При наданні послуг з обов’язкового аудиту фінансової звітності підприємств, що становлять суспільний інтерес (крім тих, що відповідають критеріям малого підприємства),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 Перелік професійних організацій, сертифікат (диплом) яких свідчить про високий рівень відповідних знань, затверджується Радою нагляду;</w:t>
            </w:r>
          </w:p>
          <w:p>
            <w:pPr>
              <w:pStyle w:val="style26"/>
              <w:spacing w:after="28" w:before="28"/>
              <w:contextualSpacing w:val="false"/>
              <w:jc w:val="both"/>
              <w:rPr>
                <w:lang w:val="uk-UA"/>
              </w:rPr>
            </w:pPr>
            <w:bookmarkStart w:id="4" w:name="n390"/>
            <w:bookmarkEnd w:id="4"/>
            <w:r>
              <w:rPr>
                <w:lang w:val="uk-UA"/>
              </w:rPr>
              <w:t>5) достатній рівень забезпеченості працівниками за основним місцем роботи для виконання завдань з обов’язкового аудиту фінансової звітності. У разі залучення до надання цих послуг аудиторів та інших працівників, які не є працівниками за основним місцем роботи суб’єкта аудиторської діяльності, суб’єкт аудиторської діяльності зобов’язаний вжити заходів для недопущення зниження якості внутрішнього контролю. Участь працівників суб’єкта аудиторської діяльності, які працюють не за основним місцем роботи, у виконанні завдання з обов’язкового аудиту фінансової звітності не впливає на обсяг відповідальності суб’єкта аудиторської діяльності, яка на нього покладається відповідно до законодавства та договору, укладеного з юридичною особою, якій надаються відповідні послуги;</w:t>
            </w:r>
          </w:p>
          <w:p>
            <w:pPr>
              <w:pStyle w:val="style26"/>
              <w:spacing w:after="28" w:before="28"/>
              <w:contextualSpacing w:val="false"/>
              <w:jc w:val="both"/>
              <w:rPr>
                <w:lang w:val="uk-UA"/>
              </w:rPr>
            </w:pPr>
            <w:bookmarkStart w:id="5" w:name="n391"/>
            <w:bookmarkEnd w:id="5"/>
            <w:r>
              <w:rPr>
                <w:lang w:val="uk-UA"/>
              </w:rPr>
              <w:t>6) запровадження організаційних та адміністративних механізмів для попередження, ідентифікації, усунення або управління і розкриття будь-яких ризиків та загроз своїй незалежності;</w:t>
            </w:r>
          </w:p>
          <w:p>
            <w:pPr>
              <w:pStyle w:val="style26"/>
              <w:spacing w:after="28" w:before="28"/>
              <w:contextualSpacing w:val="false"/>
              <w:jc w:val="both"/>
              <w:rPr>
                <w:lang w:val="uk-UA"/>
              </w:rPr>
            </w:pPr>
            <w:bookmarkStart w:id="6" w:name="n392"/>
            <w:bookmarkEnd w:id="6"/>
            <w:r>
              <w:rPr>
                <w:lang w:val="uk-UA"/>
              </w:rPr>
              <w:t>7) запровадження внутрішньої політики та процедур виконання завдань з обов’язкового аудиту фінансової звітності, що також мають передбачати обов’язковість інструктажу, нагляду та перевірки роботи аудиторів та інших працівників, вимог до створення і обсягу робочих документів аудитора;</w:t>
            </w:r>
          </w:p>
          <w:p>
            <w:pPr>
              <w:pStyle w:val="style26"/>
              <w:spacing w:after="28" w:before="28"/>
              <w:contextualSpacing w:val="false"/>
              <w:jc w:val="both"/>
              <w:rPr>
                <w:lang w:val="uk-UA"/>
              </w:rPr>
            </w:pPr>
            <w:bookmarkStart w:id="7" w:name="n393"/>
            <w:bookmarkEnd w:id="7"/>
            <w:r>
              <w:rPr>
                <w:lang w:val="uk-UA"/>
              </w:rPr>
              <w:t>8) запровадження внутрішньої системи контролю якості аудиторських послуг. Відповідальність за організацію і ефективне функціонування внутрішньої системи контролю якості несе керівник суб’єкта аудиторської діяльності, при цьому ним може бути призначена відповідальна особа лише з числа аудиторів, яка є працівником суб’єкта аудиторської діяльності за основним місцем роботи;</w:t>
            </w:r>
          </w:p>
          <w:p>
            <w:pPr>
              <w:pStyle w:val="style26"/>
              <w:spacing w:after="28" w:before="28"/>
              <w:contextualSpacing w:val="false"/>
              <w:jc w:val="both"/>
              <w:rPr>
                <w:lang w:val="uk-UA"/>
              </w:rPr>
            </w:pPr>
            <w:bookmarkStart w:id="8" w:name="n394"/>
            <w:bookmarkEnd w:id="8"/>
            <w:r>
              <w:rPr>
                <w:lang w:val="uk-UA"/>
              </w:rPr>
              <w:t>9) використання вищезазначених внутрішніх процедур, систем, механізмів та ресурсів для забезпечення системного та регулярного надання послуг з обов’язкового аудиту;</w:t>
            </w:r>
          </w:p>
          <w:p>
            <w:pPr>
              <w:pStyle w:val="style26"/>
              <w:spacing w:after="28" w:before="28"/>
              <w:contextualSpacing w:val="false"/>
              <w:jc w:val="both"/>
              <w:rPr>
                <w:lang w:val="uk-UA"/>
              </w:rPr>
            </w:pPr>
            <w:bookmarkStart w:id="9" w:name="n395"/>
            <w:bookmarkEnd w:id="9"/>
            <w:r>
              <w:rPr>
                <w:lang w:val="uk-UA"/>
              </w:rPr>
              <w:t>10) запровадження механізмів реєстрації та розв’язання нестандартних ситуацій, що мають або можуть мати суттєві наслідки для неупередженості діяльності аудиторів та ключових партнерів, пов’язаної з наданням послуг з обов’язкового аудиту фінансової звітності;</w:t>
            </w:r>
          </w:p>
          <w:p>
            <w:pPr>
              <w:pStyle w:val="style26"/>
              <w:spacing w:after="28" w:before="28"/>
              <w:contextualSpacing w:val="false"/>
              <w:jc w:val="both"/>
              <w:rPr>
                <w:lang w:val="uk-UA"/>
              </w:rPr>
            </w:pPr>
            <w:bookmarkStart w:id="10" w:name="n396"/>
            <w:bookmarkEnd w:id="10"/>
            <w:r>
              <w:rPr>
                <w:lang w:val="uk-UA"/>
              </w:rPr>
              <w:t>11) застосовування політики оплати праці</w:t>
            </w:r>
            <w:r>
              <w:rPr/>
              <w:t xml:space="preserve"> персоналу, </w:t>
            </w:r>
            <w:r>
              <w:rPr>
                <w:lang w:val="uk-UA"/>
              </w:rPr>
              <w:t>залученого до виконання завдань з обов’язкового аудиту, що передбачала б стимули для забезпечення якості робіт. При цьому винагорода, отримана суб’єктом аудиторської діяльності від юридичної особи за послуги, не пов’язані з обов’язковим аудитом фінансової звітності, не може будь-яким способом враховуватися при визначенні обсягу оплати праці аудиторам та іншим працівникам, залученим до виконання завдання з обов’язкового аудиту фінансової звітності цієї юридичної особи;</w:t>
            </w:r>
          </w:p>
          <w:p>
            <w:pPr>
              <w:pStyle w:val="style26"/>
              <w:spacing w:after="28" w:before="28"/>
              <w:contextualSpacing w:val="false"/>
              <w:jc w:val="both"/>
              <w:rPr>
                <w:lang w:val="uk-UA"/>
              </w:rPr>
            </w:pPr>
            <w:bookmarkStart w:id="11" w:name="n397"/>
            <w:bookmarkEnd w:id="11"/>
            <w:r>
              <w:rPr>
                <w:lang w:val="uk-UA"/>
              </w:rPr>
              <w:t>12) постійний моніторинг, оцінювання відповідності та ефективності внутрішньої політики і процедур, системи внутрішнього контролю, у тому числі щорічнa оцінка внутрішньої системи контролю якості та вжиття відповідних заходів для усунення будь-яких недоліків. Суб’єкт аудиторської діяльності може залучати для незалежного оцінювання внутрішньої системи контролю якості професійні організації аудиторів. Суб’єкт аудиторської діяльності повинен зберігати інформацію про результати оцінки ефективності системи внутрішнього контролю та вжиті заходи протягом семи років.</w:t>
            </w:r>
          </w:p>
          <w:p>
            <w:pPr>
              <w:pStyle w:val="style26"/>
              <w:spacing w:after="28" w:before="28"/>
              <w:contextualSpacing w:val="false"/>
              <w:jc w:val="both"/>
              <w:rPr>
                <w:lang w:val="uk-UA"/>
              </w:rPr>
            </w:pPr>
            <w:r>
              <w:rPr>
                <w:lang w:val="uk-UA"/>
              </w:rPr>
            </w:r>
          </w:p>
          <w:p>
            <w:pPr>
              <w:pStyle w:val="style0"/>
              <w:jc w:val="both"/>
              <w:rPr>
                <w:rStyle w:val="style17"/>
                <w:rFonts w:ascii="Times New Roman" w:cs="Times New Roman" w:hAnsi="Times New Roman"/>
                <w:sz w:val="24"/>
                <w:szCs w:val="24"/>
                <w:lang w:val="uk-UA"/>
              </w:rPr>
            </w:pPr>
            <w:r>
              <w:rPr>
                <w:rStyle w:val="style17"/>
                <w:rFonts w:ascii="Times New Roman" w:cs="Times New Roman" w:hAnsi="Times New Roman"/>
                <w:sz w:val="24"/>
                <w:szCs w:val="24"/>
                <w:lang w:val="uk-UA"/>
              </w:rPr>
              <w:t xml:space="preserve">- Суб’єкт аудиторської діяльності, який надає послуги з обов’язкового аудиту фінансової звітності Товариству, або учасник аудиторської мережі, до якої належить такий суб’єкт аудиторської діяльності, не має права безпосередньо або опосередковано надавати Товариству, його материнській компанії (резиденту України) та/або дочірнім підприємствам (резидентам України) послуги, зазначені у </w:t>
            </w:r>
            <w:r>
              <w:fldChar w:fldCharType="begin"/>
            </w:r>
            <w:r>
              <w:instrText> HYPERLINK "https://zakon.rada.gov.ua/laws/show/2258-19" \l "n62"</w:instrText>
            </w:r>
            <w:r>
              <w:fldChar w:fldCharType="separate"/>
            </w:r>
            <w:r>
              <w:rPr>
                <w:rStyle w:val="style16"/>
                <w:rFonts w:ascii="Times New Roman" w:cs="Times New Roman" w:hAnsi="Times New Roman"/>
                <w:color w:val="00000A"/>
                <w:sz w:val="24"/>
                <w:szCs w:val="24"/>
                <w:u w:val="none"/>
                <w:lang w:val="uk-UA"/>
              </w:rPr>
              <w:t>частині четвертій</w:t>
            </w:r>
            <w:r>
              <w:fldChar w:fldCharType="end"/>
            </w:r>
            <w:r>
              <w:rPr>
                <w:rStyle w:val="style17"/>
                <w:rFonts w:ascii="Times New Roman" w:cs="Times New Roman" w:hAnsi="Times New Roman"/>
                <w:sz w:val="24"/>
                <w:szCs w:val="24"/>
                <w:lang w:val="uk-UA"/>
              </w:rPr>
              <w:t xml:space="preserve"> статті 6 Закону.</w:t>
            </w:r>
          </w:p>
          <w:p>
            <w:pPr>
              <w:pStyle w:val="style0"/>
              <w:jc w:val="both"/>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     </w:t>
            </w:r>
            <w:r>
              <w:rPr>
                <w:rFonts w:ascii="Times New Roman" w:cs="Times New Roman" w:hAnsi="Times New Roman"/>
                <w:sz w:val="24"/>
                <w:szCs w:val="24"/>
                <w:lang w:val="uk-UA"/>
              </w:rPr>
              <w:t>Учасник конкурсу має відповідати іншим вимогам та враховувати інші обмеження, передбачені Законом.</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6.2.</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До участі не допускаються суб’єкти аудиторської діяльності, що:</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Не відповідають вимогам Закону</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7.</w:t>
            </w:r>
          </w:p>
        </w:tc>
        <w:tc>
          <w:tcPr>
            <w:tcW w:type="dxa" w:w="8418"/>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Спосіб подання документів та їх обсяг:</w:t>
            </w:r>
          </w:p>
        </w:tc>
      </w:tr>
      <w:tr>
        <w:trPr>
          <w:trHeight w:hRule="atLeast" w:val="8923"/>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7.1.</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Учасники конкурсу подають конкурсні пропозиції, в яких має бути зазначено:</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Повне та скорочене найменування;</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Код ЄДРПОУ;</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Місцезнаходження;</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ПІБ та документи, що підтверджують повноваження керівника, іншої особи, уповноваженої діяти від імені підприємства і які мають право підпису документів на предмет виконання зобов’язань з надання послуг з обов’язкового аудиту;</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Адреса елекронної пошти;</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Контактна особа;</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Установчі документи (статут);</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Номер реєстрації у Реєстрі аудиторів та суб’єктів аудиторської діяльності;</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Номер реєстрації у окремому розділі «Субєкти аудиторської діяльності, які мають право проводити обов’язків аудит фінансової звітності підприємств, що становлять суспільний інтерес» реєстру;</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Реєстраційні відомості (дані) Свідоцтва про відповідність системи контролю якості;</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Реєстраційні дані свідоцтва про включення до Реєстру аудиторських фірм та аудиторів; </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проект договору про надання аудиторських послуг із зазначенням в ньому цінової пропозиції розміру оплати вартості послуг та термінів виконання;</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Назва й адреса головного підприємства, дата утворення, місце реєстрації;</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Спеціалізація;</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Чисельність штатних працівників</w:t>
            </w:r>
          </w:p>
          <w:p>
            <w:pPr>
              <w:pStyle w:val="style25"/>
              <w:numPr>
                <w:ilvl w:val="0"/>
                <w:numId w:val="1"/>
              </w:numPr>
              <w:spacing w:line="100" w:lineRule="atLeast"/>
              <w:ind w:hanging="284" w:left="317" w:right="0"/>
              <w:jc w:val="both"/>
              <w:rPr>
                <w:rFonts w:ascii="Times New Roman" w:cs="Times New Roman" w:hAnsi="Times New Roman"/>
                <w:sz w:val="24"/>
                <w:szCs w:val="24"/>
                <w:lang w:val="uk-UA"/>
              </w:rPr>
            </w:pPr>
            <w:r>
              <w:rPr>
                <w:rFonts w:ascii="Times New Roman" w:cs="Times New Roman" w:hAnsi="Times New Roman"/>
                <w:sz w:val="24"/>
                <w:szCs w:val="24"/>
                <w:lang w:val="uk-UA"/>
              </w:rPr>
              <w:t>Інша інформація та документи, що підтверджують відповідність критеріям конкурсного відбору, зазначеним у п. 4.1 цієї тендерної документації.</w:t>
            </w:r>
          </w:p>
          <w:p>
            <w:pPr>
              <w:pStyle w:val="style0"/>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r>
          </w:p>
          <w:p>
            <w:pPr>
              <w:pStyle w:val="style0"/>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        </w:t>
            </w:r>
            <w:r>
              <w:rPr>
                <w:rFonts w:ascii="Times New Roman" w:cs="Times New Roman" w:hAnsi="Times New Roman"/>
                <w:sz w:val="24"/>
                <w:szCs w:val="24"/>
                <w:lang w:val="uk-UA"/>
              </w:rPr>
              <w:t>Всі документи, які мають відношення до конкурсної пропозиції, складаються українською мовою.</w:t>
            </w:r>
          </w:p>
          <w:p>
            <w:pPr>
              <w:pStyle w:val="style0"/>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        </w:t>
            </w:r>
            <w:r>
              <w:rPr>
                <w:rFonts w:ascii="Times New Roman" w:cs="Times New Roman" w:hAnsi="Times New Roman"/>
                <w:sz w:val="24"/>
                <w:szCs w:val="24"/>
                <w:lang w:val="uk-UA"/>
              </w:rPr>
              <w:t>Всі ціни конкурсної пропозиції повинні бути зазначені в українських гривня, з урахуванням всіх витрат, відрахувань та податків.</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7.2.</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Порядок надання документів та відомостей про суб’єкта аудиторської діяльності:</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sz w:val="24"/>
                <w:szCs w:val="24"/>
                <w:shd w:fill="FFFF00" w:val="clear"/>
                <w:lang w:val="en-US"/>
              </w:rPr>
            </w:pPr>
            <w:r>
              <w:rPr>
                <w:rFonts w:ascii="Times New Roman" w:cs="Times New Roman" w:hAnsi="Times New Roman"/>
                <w:sz w:val="24"/>
                <w:szCs w:val="24"/>
                <w:lang w:val="uk-UA"/>
              </w:rPr>
              <w:t xml:space="preserve">Направляється за адресою: </w:t>
            </w:r>
            <w:r>
              <w:rPr>
                <w:rFonts w:ascii="Times New Roman" w:cs="Times New Roman" w:hAnsi="Times New Roman"/>
                <w:sz w:val="24"/>
                <w:szCs w:val="24"/>
              </w:rPr>
              <w:t>01042, м.Київ, ВУЛИЦЯ ЧИГОРІНА, будинок 12</w:t>
            </w:r>
            <w:r>
              <w:rPr>
                <w:rFonts w:ascii="Times New Roman" w:cs="Times New Roman" w:hAnsi="Times New Roman"/>
                <w:sz w:val="24"/>
                <w:szCs w:val="24"/>
                <w:lang w:val="uk-UA"/>
              </w:rPr>
              <w:t xml:space="preserve">, або направляються на </w:t>
            </w:r>
            <w:r>
              <w:rPr>
                <w:rFonts w:ascii="Times New Roman" w:cs="Times New Roman" w:hAnsi="Times New Roman"/>
                <w:sz w:val="24"/>
                <w:szCs w:val="24"/>
                <w:shd w:fill="FFFF00" w:val="clear"/>
                <w:lang w:val="uk-UA"/>
              </w:rPr>
              <w:t xml:space="preserve">електронну пошту: </w:t>
            </w:r>
            <w:r>
              <w:rPr>
                <w:rFonts w:ascii="Times New Roman" w:cs="Times New Roman" w:hAnsi="Times New Roman"/>
                <w:sz w:val="24"/>
                <w:szCs w:val="24"/>
                <w:shd w:fill="FFFF00" w:val="clear"/>
                <w:lang w:val="en-US"/>
              </w:rPr>
              <w:t>credostoliza@gmail.com</w:t>
            </w:r>
          </w:p>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Із позначенням: «Конкурс з відбору суб’єкта аудиторської діяльності»</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8.</w:t>
            </w:r>
          </w:p>
        </w:tc>
        <w:tc>
          <w:tcPr>
            <w:tcW w:type="dxa" w:w="8418"/>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sz w:val="24"/>
                <w:szCs w:val="24"/>
                <w:lang w:val="uk-UA"/>
              </w:rPr>
            </w:pPr>
            <w:r>
              <w:rPr>
                <w:rFonts w:ascii="Times New Roman" w:cs="Times New Roman" w:hAnsi="Times New Roman"/>
                <w:sz w:val="24"/>
                <w:szCs w:val="24"/>
                <w:lang w:val="uk-UA"/>
              </w:rPr>
              <w:t>Конкурсні процедури</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8.1.</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Витрати</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Учасник приймає всі витрати, пов’язані з підготовкою і поданням його пропозиції.</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8.2.</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Перевірка кваліфікації:</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У період конкурсу, замовник може побажати ознайомитись із можливостями та додатково вивчати кваліфікаційні характеристики учасника. У цьому випадку учасник повинен забезпечити Замовника доступом до відповідної інформації та документі.</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8.3.</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Внесення змін до тендерної документації</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Не пізніше ніж за 3 робочі дні до закінчення строку подачі пропозицій учасниками, Замовник має право за власною ініціативою внести зміни в дану документацію й повідомити про ці зміни письмово всім учасникам, яким вона була надана.</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8.4.</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Відхилення конкурсної пропозиції</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t>Змовник має право відхилити пропозицію учасника щодо участі в процедурі надання послуг на будь-якому етапі, у випадку, якщо:</w:t>
            </w:r>
          </w:p>
          <w:p>
            <w:pPr>
              <w:pStyle w:val="style25"/>
              <w:numPr>
                <w:ilvl w:val="0"/>
                <w:numId w:val="1"/>
              </w:numPr>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t>Конкурсна пропозиція не відповідає вимогам  тендерної документації;</w:t>
            </w:r>
          </w:p>
          <w:p>
            <w:pPr>
              <w:pStyle w:val="style25"/>
              <w:numPr>
                <w:ilvl w:val="0"/>
                <w:numId w:val="1"/>
              </w:numPr>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t>Учасник надає недостовірну інформацію щодо його відповідності встановленим кваліфікаційним вимогам, або будь-яку іншу недостовірну інформацію;</w:t>
            </w:r>
          </w:p>
          <w:p>
            <w:pPr>
              <w:pStyle w:val="style25"/>
              <w:numPr>
                <w:ilvl w:val="0"/>
                <w:numId w:val="1"/>
              </w:numPr>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t>Учасник не відповідає кваліфікаційним вимогам;</w:t>
            </w:r>
          </w:p>
          <w:p>
            <w:pPr>
              <w:pStyle w:val="style25"/>
              <w:numPr>
                <w:ilvl w:val="0"/>
                <w:numId w:val="1"/>
              </w:numPr>
              <w:spacing w:line="100" w:lineRule="atLeast"/>
              <w:jc w:val="both"/>
              <w:rPr>
                <w:rFonts w:ascii="Times New Roman" w:cs="Times New Roman" w:hAnsi="Times New Roman"/>
                <w:sz w:val="24"/>
                <w:szCs w:val="24"/>
                <w:lang w:val="uk-UA"/>
              </w:rPr>
            </w:pPr>
            <w:r>
              <w:rPr>
                <w:rFonts w:ascii="Times New Roman" w:cs="Times New Roman" w:hAnsi="Times New Roman"/>
                <w:sz w:val="24"/>
                <w:szCs w:val="24"/>
                <w:lang w:val="uk-UA"/>
              </w:rPr>
              <w:t>Пропозиція надана після кінцевого строку надання пропозицій;</w:t>
            </w:r>
          </w:p>
          <w:p>
            <w:pPr>
              <w:pStyle w:val="style25"/>
              <w:numPr>
                <w:ilvl w:val="0"/>
                <w:numId w:val="1"/>
              </w:numPr>
              <w:spacing w:after="200" w:before="0" w:line="100" w:lineRule="atLeast"/>
              <w:contextualSpacing/>
              <w:jc w:val="both"/>
              <w:rPr>
                <w:rFonts w:ascii="Times New Roman" w:cs="Times New Roman" w:hAnsi="Times New Roman"/>
                <w:sz w:val="24"/>
                <w:szCs w:val="24"/>
                <w:lang w:val="uk-UA"/>
              </w:rPr>
            </w:pPr>
            <w:r>
              <w:rPr>
                <w:rFonts w:ascii="Times New Roman" w:cs="Times New Roman" w:hAnsi="Times New Roman"/>
                <w:sz w:val="24"/>
                <w:szCs w:val="24"/>
                <w:lang w:val="uk-UA"/>
              </w:rPr>
              <w:t>Будь-які спроби учасника вплинути на оцінювання Замовником пропозицій або ухвалення рішень про вибір переможця можуть викликати відхилення його пропозиції</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9.</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Оцінювання конкурсних пропозицій:</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Замовник розглядає та оцінює конкурсні пропозиції, подані суб’єктами аудиторської діяльності, за встановленими критеріями та складає Звіт про висновки процедури відбору.</w:t>
            </w:r>
          </w:p>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Критерії оцінки є – цінова пропозиція, досвід та репутація</w:t>
            </w:r>
          </w:p>
        </w:tc>
      </w:tr>
      <w:tr>
        <w:trPr>
          <w:cantSplit w:val="false"/>
        </w:trPr>
        <w:tc>
          <w:tcPr>
            <w:tcW w:type="dxa" w:w="93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10.</w:t>
            </w:r>
          </w:p>
        </w:tc>
        <w:tc>
          <w:tcPr>
            <w:tcW w:type="dxa" w:w="29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Times New Roman" w:hAnsi="Times New Roman"/>
                <w:sz w:val="24"/>
                <w:szCs w:val="24"/>
                <w:lang w:val="uk-UA"/>
              </w:rPr>
            </w:pPr>
            <w:r>
              <w:rPr>
                <w:rFonts w:ascii="Times New Roman" w:cs="Times New Roman" w:hAnsi="Times New Roman"/>
                <w:sz w:val="24"/>
                <w:szCs w:val="24"/>
                <w:lang w:val="uk-UA"/>
              </w:rPr>
              <w:t>Оприлюднення результатів конкурсу:</w:t>
            </w:r>
          </w:p>
        </w:tc>
        <w:tc>
          <w:tcPr>
            <w:tcW w:type="dxa" w:w="55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 xml:space="preserve">Результати конкурсу оприлюднюються на власному веб-сайті: </w:t>
            </w:r>
            <w:hyperlink r:id="rId3">
              <w:r>
                <w:rPr>
                  <w:rStyle w:val="style16"/>
                  <w:rFonts w:ascii="Times New Roman" w:cs="Times New Roman" w:hAnsi="Times New Roman"/>
                  <w:sz w:val="24"/>
                  <w:szCs w:val="24"/>
                  <w:lang w:val="uk-UA"/>
                </w:rPr>
                <w:t>www.credostoliza.pat.ua</w:t>
              </w:r>
            </w:hyperlink>
            <w:r>
              <w:rPr>
                <w:rFonts w:ascii="Times New Roman" w:cs="Times New Roman" w:hAnsi="Times New Roman"/>
                <w:sz w:val="24"/>
                <w:szCs w:val="24"/>
                <w:lang w:val="uk-UA"/>
              </w:rPr>
              <w:t>.</w:t>
            </w:r>
          </w:p>
          <w:p>
            <w:pPr>
              <w:pStyle w:val="style0"/>
              <w:spacing w:after="0" w:before="0" w:line="100" w:lineRule="atLeast"/>
              <w:contextualSpacing w:val="false"/>
              <w:jc w:val="both"/>
              <w:rPr>
                <w:rFonts w:ascii="Times New Roman" w:cs="Times New Roman" w:hAnsi="Times New Roman"/>
                <w:sz w:val="24"/>
                <w:szCs w:val="24"/>
                <w:lang w:val="uk-UA"/>
              </w:rPr>
            </w:pPr>
            <w:r>
              <w:rPr>
                <w:rFonts w:ascii="Times New Roman" w:cs="Times New Roman" w:hAnsi="Times New Roman"/>
                <w:sz w:val="24"/>
                <w:szCs w:val="24"/>
                <w:lang w:val="uk-UA"/>
              </w:rPr>
              <w:t>Суб’єкти аудиторської діяльності, які пройшли відбір, можуть бути додатково повідомлені листом про результати конкурсу.</w:t>
            </w:r>
          </w:p>
        </w:tc>
      </w:tr>
    </w:tbl>
    <w:p>
      <w:pPr>
        <w:pStyle w:val="style0"/>
        <w:spacing w:after="0" w:before="0" w:line="100" w:lineRule="atLeast"/>
        <w:contextualSpacing w:val="false"/>
        <w:jc w:val="center"/>
        <w:rPr>
          <w:rFonts w:ascii="Times New Roman" w:cs="Times New Roman" w:hAnsi="Times New Roman"/>
          <w:sz w:val="24"/>
          <w:szCs w:val="24"/>
          <w:lang w:val="uk-UA"/>
        </w:rPr>
      </w:pPr>
      <w:bookmarkStart w:id="12" w:name="_GoBack"/>
      <w:bookmarkStart w:id="13" w:name="_GoBack"/>
      <w:bookmarkEnd w:id="13"/>
      <w:r>
        <w:rPr>
          <w:rFonts w:ascii="Times New Roman" w:cs="Times New Roman" w:hAnsi="Times New Roman"/>
          <w:sz w:val="24"/>
          <w:szCs w:val="24"/>
          <w:lang w:val="uk-UA"/>
        </w:rPr>
      </w:r>
    </w:p>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4"/>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4"/>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zxx-" w:eastAsia="zxx-" w:val="zxx-"/>
    </w:rPr>
  </w:style>
  <w:style w:styleId="style17" w:type="character">
    <w:name w:val="rvts0"/>
    <w:basedOn w:val="style15"/>
    <w:next w:val="style17"/>
    <w:rPr/>
  </w:style>
  <w:style w:styleId="style18" w:type="character">
    <w:name w:val="ListLabel 1"/>
    <w:next w:val="style18"/>
    <w:rPr>
      <w:rFonts w:cs="Calibri"/>
    </w:rPr>
  </w:style>
  <w:style w:styleId="style19" w:type="character">
    <w:name w:val="ListLabel 2"/>
    <w:next w:val="style19"/>
    <w:rPr>
      <w:rFonts w:cs="Courier New"/>
    </w:rPr>
  </w:style>
  <w:style w:styleId="style20" w:type="paragraph">
    <w:name w:val="Заголовок"/>
    <w:basedOn w:val="style0"/>
    <w:next w:val="style21"/>
    <w:pPr>
      <w:keepNext/>
      <w:spacing w:after="120" w:before="240"/>
      <w:contextualSpacing w:val="false"/>
    </w:pPr>
    <w:rPr>
      <w:rFonts w:ascii="Arial" w:cs="Arial" w:eastAsia="Microsoft YaHei"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Arial"/>
    </w:rPr>
  </w:style>
  <w:style w:styleId="style23" w:type="paragraph">
    <w:name w:val="Название"/>
    <w:basedOn w:val="style0"/>
    <w:next w:val="style23"/>
    <w:pPr>
      <w:suppressLineNumbers/>
      <w:spacing w:after="120" w:before="120"/>
      <w:contextualSpacing w:val="false"/>
    </w:pPr>
    <w:rPr>
      <w:rFonts w:cs="Arial"/>
      <w:i/>
      <w:iCs/>
      <w:sz w:val="24"/>
      <w:szCs w:val="24"/>
    </w:rPr>
  </w:style>
  <w:style w:styleId="style24" w:type="paragraph">
    <w:name w:val="Указатель"/>
    <w:basedOn w:val="style0"/>
    <w:next w:val="style24"/>
    <w:pPr>
      <w:suppressLineNumbers/>
    </w:pPr>
    <w:rPr>
      <w:rFonts w:cs="Arial"/>
    </w:rPr>
  </w:style>
  <w:style w:styleId="style25" w:type="paragraph">
    <w:name w:val="List Paragraph"/>
    <w:basedOn w:val="style0"/>
    <w:next w:val="style25"/>
    <w:pPr>
      <w:spacing w:after="200" w:before="0"/>
      <w:ind w:hanging="0" w:left="720" w:right="0"/>
      <w:contextualSpacing/>
    </w:pPr>
    <w:rPr/>
  </w:style>
  <w:style w:styleId="style26" w:type="paragraph">
    <w:name w:val="rvps2"/>
    <w:basedOn w:val="style0"/>
    <w:next w:val="style26"/>
    <w:pPr>
      <w:spacing w:after="28" w:before="28" w:line="100" w:lineRule="atLeast"/>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edostoliza.pat.ua/" TargetMode="External"/><Relationship Id="rId3" Type="http://schemas.openxmlformats.org/officeDocument/2006/relationships/hyperlink" Target="http://www.credostoliza.pat.u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2019-12-11T14:28:00Z</dcterms:created>
  <dc:creator>админ</dc:creator>
  <cp:lastModifiedBy>админ</cp:lastModifiedBy>
  <dcterms:modified xsi:type="dcterms:W3CDTF">2019-12-12T11:13:00Z</dcterms:modified>
  <cp:revision>20</cp:revision>
</cp:coreProperties>
</file>